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カルベジロール錠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「タナベ」</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カルベジロール</w:t>
            </w:r>
            <w:r w:rsidRPr="000600ED">
              <w:rPr>
                <w:rFonts w:asciiTheme="minorEastAsia" w:hAnsiTheme="minorEastAsia"/>
                <w:sz w:val="20"/>
                <w:szCs w:val="20"/>
              </w:rPr>
              <w:t>(Carvedilol)</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白色の錠剤、長径</w:t>
            </w:r>
            <w:r w:rsidRPr="000600ED">
              <w:rPr>
                <w:rFonts w:asciiTheme="minorEastAsia" w:hAnsiTheme="minorEastAsia"/>
                <w:sz w:val="20"/>
                <w:szCs w:val="20"/>
              </w:rPr>
              <w:t>10.1mm</w:t>
            </w:r>
            <w:r w:rsidRPr="000600ED">
              <w:rPr>
                <w:rFonts w:asciiTheme="minorEastAsia" w:hAnsiTheme="minorEastAsia" w:hint="eastAsia"/>
                <w:sz w:val="20"/>
                <w:szCs w:val="20"/>
              </w:rPr>
              <w:t>、短径</w:t>
            </w:r>
            <w:r w:rsidRPr="000600ED">
              <w:rPr>
                <w:rFonts w:asciiTheme="minorEastAsia" w:hAnsiTheme="minorEastAsia"/>
                <w:sz w:val="20"/>
                <w:szCs w:val="20"/>
              </w:rPr>
              <w:t>5.1mm</w:t>
            </w:r>
            <w:r w:rsidRPr="000600ED">
              <w:rPr>
                <w:rFonts w:asciiTheme="minorEastAsia" w:hAnsiTheme="minorEastAsia" w:hint="eastAsia"/>
                <w:sz w:val="20"/>
                <w:szCs w:val="20"/>
              </w:rPr>
              <w:t>、厚さ</w:t>
            </w:r>
            <w:r w:rsidRPr="000600ED">
              <w:rPr>
                <w:rFonts w:asciiTheme="minorEastAsia" w:hAnsiTheme="minorEastAsia"/>
                <w:sz w:val="20"/>
                <w:szCs w:val="20"/>
              </w:rPr>
              <w:t>3.2mm</w:t>
            </w:r>
          </w:p>
          <w:p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（表）カルベジロール</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「タナベ」、カルベジロール、</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TG021</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Carvedilol 2.5mg</w:t>
            </w:r>
            <w:r w:rsidRPr="000600ED">
              <w:rPr>
                <w:rFonts w:asciiTheme="minorEastAsia" w:hAnsiTheme="minorEastAsia" w:hint="eastAsia"/>
                <w:sz w:val="20"/>
                <w:szCs w:val="20"/>
              </w:rPr>
              <w:t>、カルベジロール</w:t>
            </w:r>
            <w:r w:rsidRPr="000600ED">
              <w:rPr>
                <w:rFonts w:asciiTheme="minorEastAsia" w:hAnsiTheme="minorEastAsia"/>
                <w:sz w:val="20"/>
                <w:szCs w:val="20"/>
              </w:rPr>
              <w:t>2.5</w:t>
            </w:r>
            <w:r w:rsidRPr="000600ED">
              <w:rPr>
                <w:rFonts w:asciiTheme="minorEastAsia" w:hAnsiTheme="minorEastAsia" w:hint="eastAsia"/>
                <w:sz w:val="20"/>
                <w:szCs w:val="20"/>
              </w:rPr>
              <w:t>「タナベ」、カルベジロール</w:t>
            </w:r>
            <w:r w:rsidRPr="000600ED">
              <w:rPr>
                <w:rFonts w:asciiTheme="minorEastAsia" w:hAnsiTheme="minorEastAsia"/>
                <w:sz w:val="20"/>
                <w:szCs w:val="20"/>
              </w:rPr>
              <w:t>2.5mg</w:t>
            </w:r>
            <w:r w:rsidRPr="000600ED">
              <w:rPr>
                <w:rFonts w:asciiTheme="minorEastAsia" w:hAnsiTheme="minorEastAsia" w:hint="eastAsia"/>
                <w:sz w:val="20"/>
                <w:szCs w:val="20"/>
              </w:rPr>
              <w:t>「タナベ」</w:t>
            </w:r>
          </w:p>
        </w:tc>
        <w:tc>
          <w:tcPr>
            <w:tcW w:w="2161" w:type="dxa"/>
          </w:tcPr>
          <w:p w:rsidR="00D24830" w:rsidRPr="000600ED" w:rsidRDefault="006D1FE2" w:rsidP="001103E5">
            <w:pPr>
              <w:jc w:val="center"/>
              <w:rPr>
                <w:rFonts w:asciiTheme="minorEastAsia"/>
                <w:sz w:val="20"/>
                <w:szCs w:val="20"/>
              </w:rPr>
            </w:pPr>
            <w:r>
              <w:rPr>
                <w:rFonts w:asciiTheme="minorEastAsia" w:hAnsiTheme="minorEastAsia" w:hint="eastAsia"/>
                <w:noProof/>
                <w:sz w:val="20"/>
                <w:szCs w:val="20"/>
              </w:rPr>
              <w:drawing>
                <wp:inline distT="0" distB="0" distL="0" distR="0">
                  <wp:extent cx="1219200" cy="2057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20574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β受容体遮断作用に加えてα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受容体遮断作用による血管拡張作用を示し、血管抵抗を維持、減少させて、心臓のポンプ機能を改善し、体に必要な血液を十分に送り、心機能を改善します。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通常、慢性心不全（虚血性心疾患または拡張型心筋症に基づく）、不整脈（頻脈性心房細動）の治療に用いられます。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気管支喘息、気管支痙攣、糖尿病性ケトアシドーシス、代謝性アシドーシス、不整脈、心原性ショック、非代償性の心不全、肺高血圧による右心不全、未治療の褐色細胞腫、絶食状態、栄養不良、肝機能障害、腎機能障害、末梢循環障害、血圧が低い。</w:t>
            </w:r>
          </w:p>
          <w:p w:rsidR="00000000" w:rsidRDefault="000600ED" w:rsidP="001456F1">
            <w:pPr>
              <w:ind w:leftChars="100" w:left="410" w:hangingChars="100" w:hanging="200"/>
            </w:pPr>
            <w:r w:rsidRPr="000600ED">
              <w:rPr>
                <w:rFonts w:asciiTheme="minorEastAsia" w:hAnsiTheme="minorEastAsia" w:hint="eastAsia"/>
                <w:sz w:val="20"/>
                <w:szCs w:val="20"/>
              </w:rPr>
              <w:t>・妊娠または妊娠している可能性がある、授乳中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虚血性心疾患または拡張型心筋症に基づく慢性心不全</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回半錠（主成分として</w:t>
            </w:r>
            <w:r w:rsidRPr="000600ED">
              <w:rPr>
                <w:rFonts w:asciiTheme="minorEastAsia" w:hAnsiTheme="minorEastAsia"/>
                <w:sz w:val="20"/>
                <w:szCs w:val="20"/>
              </w:rPr>
              <w:t>1.25mg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回食後の服用から開始します。</w:t>
            </w:r>
            <w:r w:rsidRPr="000600ED">
              <w:rPr>
                <w:rFonts w:asciiTheme="minorEastAsia" w:hAnsiTheme="minorEastAsia"/>
                <w:sz w:val="20"/>
                <w:szCs w:val="20"/>
              </w:rPr>
              <w:t>1</w:t>
            </w:r>
            <w:r w:rsidRPr="000600ED">
              <w:rPr>
                <w:rFonts w:asciiTheme="minorEastAsia" w:hAnsiTheme="minorEastAsia" w:hint="eastAsia"/>
                <w:sz w:val="20"/>
                <w:szCs w:val="20"/>
              </w:rPr>
              <w:t>回半錠（</w:t>
            </w:r>
            <w:r w:rsidRPr="000600ED">
              <w:rPr>
                <w:rFonts w:asciiTheme="minorEastAsia" w:hAnsiTheme="minorEastAsia"/>
                <w:sz w:val="20"/>
                <w:szCs w:val="20"/>
              </w:rPr>
              <w:t>1.25mg</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回の服用に忍容性がある（何事もなく飲み続けられる）場合には、</w:t>
            </w:r>
            <w:r w:rsidRPr="000600ED">
              <w:rPr>
                <w:rFonts w:asciiTheme="minorEastAsia" w:hAnsiTheme="minorEastAsia"/>
                <w:sz w:val="20"/>
                <w:szCs w:val="20"/>
              </w:rPr>
              <w:t>1</w:t>
            </w:r>
            <w:r w:rsidRPr="000600ED">
              <w:rPr>
                <w:rFonts w:asciiTheme="minorEastAsia" w:hAnsiTheme="minorEastAsia" w:hint="eastAsia"/>
                <w:sz w:val="20"/>
                <w:szCs w:val="20"/>
              </w:rPr>
              <w:t>週間以上の間隔で忍容性をみながら段階的に増量され、忍容性がない場合は減量されます。用量の増減は必ず段階的に行われ、</w:t>
            </w:r>
            <w:r w:rsidRPr="000600ED">
              <w:rPr>
                <w:rFonts w:asciiTheme="minorEastAsia" w:hAnsiTheme="minorEastAsia"/>
                <w:sz w:val="20"/>
                <w:szCs w:val="20"/>
              </w:rPr>
              <w:t>1</w:t>
            </w:r>
            <w:r w:rsidRPr="000600ED">
              <w:rPr>
                <w:rFonts w:asciiTheme="minorEastAsia" w:hAnsiTheme="minorEastAsia" w:hint="eastAsia"/>
                <w:sz w:val="20"/>
                <w:szCs w:val="20"/>
              </w:rPr>
              <w:t>回服用量は半錠（</w:t>
            </w:r>
            <w:r w:rsidRPr="000600ED">
              <w:rPr>
                <w:rFonts w:asciiTheme="minorEastAsia" w:hAnsiTheme="minorEastAsia"/>
                <w:sz w:val="20"/>
                <w:szCs w:val="20"/>
              </w:rPr>
              <w:t>1.25mg</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）、または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10mg</w:t>
            </w:r>
            <w:r w:rsidRPr="000600ED">
              <w:rPr>
                <w:rFonts w:asciiTheme="minorEastAsia" w:hAnsiTheme="minorEastAsia" w:hint="eastAsia"/>
                <w:sz w:val="20"/>
                <w:szCs w:val="20"/>
              </w:rPr>
              <w:t>）のいずれかです。いずれの用量でも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回食後に服用します。通常、維持量として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2.5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回食後に服用します。なお、年齢・症状により服用開始用量はさらに低用量になる場合もあります。また、患者の本剤に対する反応性により、維持量は適宜増減されます。</w:t>
            </w:r>
          </w:p>
          <w:p w:rsidR="00000000" w:rsidRDefault="000600ED" w:rsidP="002B76BF">
            <w:pPr>
              <w:ind w:leftChars="200" w:left="420"/>
            </w:pPr>
            <w:r w:rsidRPr="000600ED">
              <w:rPr>
                <w:rFonts w:asciiTheme="minorEastAsia" w:hAnsiTheme="minorEastAsia" w:hint="eastAsia"/>
                <w:sz w:val="20"/>
                <w:szCs w:val="20"/>
                <w:u w:val="single"/>
              </w:rPr>
              <w:t>頻脈性心房細動</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回の服用から開始し、効果が不十分な場合には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8</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回へ段階的に増量されます。年齢・症状により適宜増減されますが、最大服用量は</w:t>
            </w:r>
            <w:r w:rsidRPr="000600ED">
              <w:rPr>
                <w:rFonts w:asciiTheme="minorEastAsia" w:hAnsiTheme="minorEastAsia"/>
                <w:sz w:val="20"/>
                <w:szCs w:val="20"/>
              </w:rPr>
              <w:t>8</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回までです。</w:t>
            </w:r>
          </w:p>
          <w:p w:rsidR="00000000"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000000" w:rsidRDefault="000600ED" w:rsidP="003F20F5">
            <w:pPr>
              <w:ind w:leftChars="100" w:left="410" w:hangingChars="100" w:hanging="200"/>
              <w:jc w:val="left"/>
            </w:pPr>
            <w:r w:rsidRPr="000600ED">
              <w:rPr>
                <w:rFonts w:asciiTheme="minorEastAsia" w:hAnsiTheme="minorEastAsia" w:hint="eastAsia"/>
                <w:sz w:val="20"/>
                <w:szCs w:val="20"/>
              </w:rPr>
              <w:t>・服用中（特に、服用初期や増量時）は、めまい、ふらつきがあらわれることがありますので、自動車の運転など危険を伴う機械の操作などはしないようにしてください。</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慢性心不全（息切れや脱力感など）、心不全の悪化、動悸、徐脈、血圧低下、糖尿病悪化、全身倦怠感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・息切れ、めまい、意識障害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高度な徐脈、ショック、完全房室ブロック、心不全、心停止</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・顔面蒼白、冷汗、ふらつき</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・全身倦怠感、尿量減少、手足や顔のむくみ</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・発熱、全身倦怠感、皮膚・眼・口内に発疹ができる・赤くなる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・呼吸困難、ふらふら感、眼や唇の周りがはれる</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E2" w:rsidRDefault="006D1FE2" w:rsidP="005676BB">
      <w:r>
        <w:separator/>
      </w:r>
    </w:p>
  </w:endnote>
  <w:endnote w:type="continuationSeparator" w:id="0">
    <w:p w:rsidR="006D1FE2" w:rsidRDefault="006D1FE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3116DA">
      <w:rPr>
        <w:b/>
        <w:noProof/>
      </w:rPr>
      <w:t>2</w:t>
    </w:r>
    <w:r>
      <w:rPr>
        <w:b/>
      </w:rPr>
      <w:fldChar w:fldCharType="end"/>
    </w:r>
    <w:r>
      <w:rPr>
        <w:lang w:val="ja-JP"/>
      </w:rPr>
      <w:t xml:space="preserve"> / </w:t>
    </w:r>
    <w:r>
      <w:rPr>
        <w:b/>
      </w:rPr>
      <w:fldChar w:fldCharType="begin"/>
    </w:r>
    <w:r>
      <w:rPr>
        <w:b/>
      </w:rPr>
      <w:instrText>NUMPAGES</w:instrText>
    </w:r>
    <w:r>
      <w:rPr>
        <w:b/>
      </w:rPr>
      <w:fldChar w:fldCharType="separate"/>
    </w:r>
    <w:r w:rsidR="003116DA">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E2" w:rsidRDefault="006D1FE2" w:rsidP="005676BB">
      <w:r>
        <w:separator/>
      </w:r>
    </w:p>
  </w:footnote>
  <w:footnote w:type="continuationSeparator" w:id="0">
    <w:p w:rsidR="006D1FE2" w:rsidRDefault="006D1FE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F"/>
    <w:rsid w:val="000600ED"/>
    <w:rsid w:val="001103E5"/>
    <w:rsid w:val="001456F1"/>
    <w:rsid w:val="001D7781"/>
    <w:rsid w:val="002209A5"/>
    <w:rsid w:val="002376F2"/>
    <w:rsid w:val="002A4A81"/>
    <w:rsid w:val="002B76BF"/>
    <w:rsid w:val="003071A2"/>
    <w:rsid w:val="003116DA"/>
    <w:rsid w:val="003333EC"/>
    <w:rsid w:val="003F20F5"/>
    <w:rsid w:val="00547602"/>
    <w:rsid w:val="005676BB"/>
    <w:rsid w:val="006A40B0"/>
    <w:rsid w:val="006D1FE2"/>
    <w:rsid w:val="00764B98"/>
    <w:rsid w:val="007B113F"/>
    <w:rsid w:val="007D422F"/>
    <w:rsid w:val="008B2922"/>
    <w:rsid w:val="009166E6"/>
    <w:rsid w:val="00A142FA"/>
    <w:rsid w:val="00A31947"/>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EDD5-C229-408E-B523-EF59455C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LOCALUSER</cp:lastModifiedBy>
  <cp:revision>2</cp:revision>
  <dcterms:created xsi:type="dcterms:W3CDTF">2018-09-20T07:48:00Z</dcterms:created>
  <dcterms:modified xsi:type="dcterms:W3CDTF">2018-09-20T07:48:00Z</dcterms:modified>
</cp:coreProperties>
</file>