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アレギサールドライシロップ</w:t>
            </w:r>
            <w:r w:rsidRPr="000600ED">
              <w:rPr>
                <w:rFonts w:asciiTheme="majorEastAsia" w:eastAsiaTheme="majorEastAsia" w:hAnsiTheme="majorEastAsia"/>
                <w:b/>
                <w:sz w:val="24"/>
                <w:szCs w:val="24"/>
              </w:rPr>
              <w:t>0.5%</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ペミロラストカリウム</w:t>
            </w:r>
            <w:r w:rsidRPr="000600ED">
              <w:rPr>
                <w:rFonts w:asciiTheme="minorEastAsia" w:hAnsiTheme="minorEastAsia"/>
                <w:sz w:val="20"/>
                <w:szCs w:val="20"/>
              </w:rPr>
              <w:t>(Pemirolast potassium)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白色～微黄白色のドライシロップ剤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（表）アレギサールドライシロップ</w:t>
            </w:r>
            <w:r w:rsidR="000600ED" w:rsidRPr="000600ED">
              <w:rPr>
                <w:rFonts w:asciiTheme="minorEastAsia" w:hAnsiTheme="minorEastAsia"/>
                <w:sz w:val="20"/>
                <w:szCs w:val="20"/>
              </w:rPr>
              <w:t>0.5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0.5g</w:t>
            </w:r>
            <w:r w:rsidR="000600ED" w:rsidRPr="000600ED">
              <w:rPr>
                <w:rFonts w:asciiTheme="minorEastAsia" w:hAnsiTheme="minorEastAsia" w:hint="eastAsia"/>
                <w:sz w:val="20"/>
                <w:szCs w:val="20"/>
              </w:rPr>
              <w:t>、あさ</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よる</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0.5</w:t>
            </w:r>
            <w:r w:rsidRPr="000600ED">
              <w:rPr>
                <w:rFonts w:asciiTheme="minorEastAsia" w:hAnsiTheme="minorEastAsia" w:hint="eastAsia"/>
                <w:sz w:val="20"/>
                <w:szCs w:val="20"/>
              </w:rPr>
              <w:t>％、あさ</w:t>
            </w:r>
            <w:r w:rsidRPr="000600ED">
              <w:rPr>
                <w:rFonts w:asciiTheme="minorEastAsia" w:hAnsiTheme="minorEastAsia"/>
                <w:sz w:val="20"/>
                <w:szCs w:val="20"/>
              </w:rPr>
              <w:t>/</w:t>
            </w:r>
            <w:r w:rsidRPr="000600ED">
              <w:rPr>
                <w:rFonts w:asciiTheme="minorEastAsia" w:hAnsiTheme="minorEastAsia" w:hint="eastAsia"/>
                <w:sz w:val="20"/>
                <w:szCs w:val="20"/>
              </w:rPr>
              <w:t>よる</w:t>
            </w:r>
          </w:p>
        </w:tc>
        <w:tc>
          <w:tcPr>
            <w:tcW w:w="2161" w:type="dxa"/>
          </w:tcPr>
          <w:p w:rsidR="00D24830" w:rsidRPr="000600ED" w:rsidRDefault="00AF0D7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ヒスタミンなどのアレルギー症状を引き起こす原因物質が出てくるのを抑えます。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通常、気管支ぜん息やアレルギー性鼻炎の治療に用いられます。すでに起こっている発作や症状を速やかに軽減する薬ではありません。</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気管支ぜん息</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40mg/kg</w:t>
            </w:r>
            <w:r w:rsidRPr="000600ED">
              <w:rPr>
                <w:rFonts w:asciiTheme="minorEastAsia" w:hAnsiTheme="minorEastAsia" w:hint="eastAsia"/>
                <w:sz w:val="20"/>
                <w:szCs w:val="20"/>
              </w:rPr>
              <w:t>（主成分として</w:t>
            </w:r>
            <w:r w:rsidRPr="000600ED">
              <w:rPr>
                <w:rFonts w:asciiTheme="minorEastAsia" w:hAnsiTheme="minorEastAsia"/>
                <w:sz w:val="20"/>
                <w:szCs w:val="20"/>
              </w:rPr>
              <w:t>0.2mg/kg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回朝食後と就寝前に、水に溶かして服用します。年齢別</w:t>
            </w:r>
            <w:r w:rsidRPr="000600ED">
              <w:rPr>
                <w:rFonts w:asciiTheme="minorEastAsia" w:hAnsiTheme="minorEastAsia"/>
                <w:sz w:val="20"/>
                <w:szCs w:val="20"/>
              </w:rPr>
              <w:t>1</w:t>
            </w:r>
            <w:r w:rsidRPr="000600ED">
              <w:rPr>
                <w:rFonts w:asciiTheme="minorEastAsia" w:hAnsiTheme="minorEastAsia" w:hint="eastAsia"/>
                <w:sz w:val="20"/>
                <w:szCs w:val="20"/>
              </w:rPr>
              <w:t>回服用量は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歳未満</w:t>
            </w:r>
            <w:r w:rsidRPr="000600ED">
              <w:rPr>
                <w:rFonts w:asciiTheme="minorEastAsia" w:hAnsiTheme="minorEastAsia"/>
                <w:sz w:val="20"/>
                <w:szCs w:val="20"/>
              </w:rPr>
              <w:t>0.5g</w:t>
            </w:r>
            <w:r w:rsidRPr="000600ED">
              <w:rPr>
                <w:rFonts w:asciiTheme="minorEastAsia" w:hAnsiTheme="minorEastAsia" w:hint="eastAsia"/>
                <w:sz w:val="20"/>
                <w:szCs w:val="20"/>
              </w:rPr>
              <w:t>（</w:t>
            </w:r>
            <w:r w:rsidRPr="000600ED">
              <w:rPr>
                <w:rFonts w:asciiTheme="minorEastAsia" w:hAnsiTheme="minorEastAsia"/>
                <w:sz w:val="20"/>
                <w:szCs w:val="20"/>
              </w:rPr>
              <w:t>2.5mg</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11</w:t>
            </w:r>
            <w:r w:rsidRPr="000600ED">
              <w:rPr>
                <w:rFonts w:asciiTheme="minorEastAsia" w:hAnsiTheme="minorEastAsia" w:hint="eastAsia"/>
                <w:sz w:val="20"/>
                <w:szCs w:val="20"/>
              </w:rPr>
              <w:t>歳未満</w:t>
            </w:r>
            <w:r w:rsidRPr="000600ED">
              <w:rPr>
                <w:rFonts w:asciiTheme="minorEastAsia" w:hAnsiTheme="minorEastAsia"/>
                <w:sz w:val="20"/>
                <w:szCs w:val="20"/>
              </w:rPr>
              <w:t>1.0g</w:t>
            </w:r>
            <w:r w:rsidRPr="000600ED">
              <w:rPr>
                <w:rFonts w:asciiTheme="minorEastAsia" w:hAnsiTheme="minorEastAsia" w:hint="eastAsia"/>
                <w:sz w:val="20"/>
                <w:szCs w:val="20"/>
              </w:rPr>
              <w:t>（</w:t>
            </w:r>
            <w:r w:rsidRPr="000600ED">
              <w:rPr>
                <w:rFonts w:asciiTheme="minorEastAsia" w:hAnsiTheme="minorEastAsia"/>
                <w:sz w:val="20"/>
                <w:szCs w:val="20"/>
              </w:rPr>
              <w:t>5mg</w:t>
            </w:r>
            <w:r w:rsidRPr="000600ED">
              <w:rPr>
                <w:rFonts w:asciiTheme="minorEastAsia" w:hAnsiTheme="minorEastAsia" w:hint="eastAsia"/>
                <w:sz w:val="20"/>
                <w:szCs w:val="20"/>
              </w:rPr>
              <w:t>）、</w:t>
            </w:r>
            <w:r w:rsidRPr="000600ED">
              <w:rPr>
                <w:rFonts w:asciiTheme="minorEastAsia" w:hAnsiTheme="minorEastAsia"/>
                <w:sz w:val="20"/>
                <w:szCs w:val="20"/>
              </w:rPr>
              <w:t>11</w:t>
            </w:r>
            <w:r w:rsidRPr="000600ED">
              <w:rPr>
                <w:rFonts w:asciiTheme="minorEastAsia" w:hAnsiTheme="minorEastAsia" w:hint="eastAsia"/>
                <w:sz w:val="20"/>
                <w:szCs w:val="20"/>
              </w:rPr>
              <w:t>歳以上</w:t>
            </w:r>
            <w:r w:rsidRPr="000600ED">
              <w:rPr>
                <w:rFonts w:asciiTheme="minorEastAsia" w:hAnsiTheme="minorEastAsia"/>
                <w:sz w:val="20"/>
                <w:szCs w:val="20"/>
              </w:rPr>
              <w:t>2.0g</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w:t>
            </w:r>
          </w:p>
          <w:p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20mg/kg</w:t>
            </w:r>
            <w:r w:rsidRPr="000600ED">
              <w:rPr>
                <w:rFonts w:asciiTheme="minorEastAsia" w:hAnsiTheme="minorEastAsia" w:hint="eastAsia"/>
                <w:sz w:val="20"/>
                <w:szCs w:val="20"/>
              </w:rPr>
              <w:t>（主成分として</w:t>
            </w:r>
            <w:r w:rsidRPr="000600ED">
              <w:rPr>
                <w:rFonts w:asciiTheme="minorEastAsia" w:hAnsiTheme="minorEastAsia"/>
                <w:sz w:val="20"/>
                <w:szCs w:val="20"/>
              </w:rPr>
              <w:t>0.1mg/kg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回朝食後と就寝前に、水に溶かして服用します。年齢別</w:t>
            </w:r>
            <w:r w:rsidRPr="000600ED">
              <w:rPr>
                <w:rFonts w:asciiTheme="minorEastAsia" w:hAnsiTheme="minorEastAsia"/>
                <w:sz w:val="20"/>
                <w:szCs w:val="20"/>
              </w:rPr>
              <w:t>1</w:t>
            </w:r>
            <w:r w:rsidRPr="000600ED">
              <w:rPr>
                <w:rFonts w:asciiTheme="minorEastAsia" w:hAnsiTheme="minorEastAsia" w:hint="eastAsia"/>
                <w:sz w:val="20"/>
                <w:szCs w:val="20"/>
              </w:rPr>
              <w:t>回服用量は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歳未満</w:t>
            </w:r>
            <w:r w:rsidRPr="000600ED">
              <w:rPr>
                <w:rFonts w:asciiTheme="minorEastAsia" w:hAnsiTheme="minorEastAsia"/>
                <w:sz w:val="20"/>
                <w:szCs w:val="20"/>
              </w:rPr>
              <w:t>0.25g</w:t>
            </w:r>
            <w:r w:rsidRPr="000600ED">
              <w:rPr>
                <w:rFonts w:asciiTheme="minorEastAsia" w:hAnsiTheme="minorEastAsia" w:hint="eastAsia"/>
                <w:sz w:val="20"/>
                <w:szCs w:val="20"/>
              </w:rPr>
              <w:t>（</w:t>
            </w:r>
            <w:r w:rsidRPr="000600ED">
              <w:rPr>
                <w:rFonts w:asciiTheme="minorEastAsia" w:hAnsiTheme="minorEastAsia"/>
                <w:sz w:val="20"/>
                <w:szCs w:val="20"/>
              </w:rPr>
              <w:t>1.25mg</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11</w:t>
            </w:r>
            <w:r w:rsidRPr="000600ED">
              <w:rPr>
                <w:rFonts w:asciiTheme="minorEastAsia" w:hAnsiTheme="minorEastAsia" w:hint="eastAsia"/>
                <w:sz w:val="20"/>
                <w:szCs w:val="20"/>
              </w:rPr>
              <w:t>歳未満</w:t>
            </w:r>
            <w:r w:rsidRPr="000600ED">
              <w:rPr>
                <w:rFonts w:asciiTheme="minorEastAsia" w:hAnsiTheme="minorEastAsia"/>
                <w:sz w:val="20"/>
                <w:szCs w:val="20"/>
              </w:rPr>
              <w:t>0.5g</w:t>
            </w:r>
            <w:r w:rsidRPr="000600ED">
              <w:rPr>
                <w:rFonts w:asciiTheme="minorEastAsia" w:hAnsiTheme="minorEastAsia" w:hint="eastAsia"/>
                <w:sz w:val="20"/>
                <w:szCs w:val="20"/>
              </w:rPr>
              <w:t>（</w:t>
            </w:r>
            <w:r w:rsidRPr="000600ED">
              <w:rPr>
                <w:rFonts w:asciiTheme="minorEastAsia" w:hAnsiTheme="minorEastAsia"/>
                <w:sz w:val="20"/>
                <w:szCs w:val="20"/>
              </w:rPr>
              <w:t>2.5mg</w:t>
            </w:r>
            <w:r w:rsidRPr="000600ED">
              <w:rPr>
                <w:rFonts w:asciiTheme="minorEastAsia" w:hAnsiTheme="minorEastAsia" w:hint="eastAsia"/>
                <w:sz w:val="20"/>
                <w:szCs w:val="20"/>
              </w:rPr>
              <w:t>）、</w:t>
            </w:r>
            <w:r w:rsidRPr="000600ED">
              <w:rPr>
                <w:rFonts w:asciiTheme="minorEastAsia" w:hAnsiTheme="minorEastAsia"/>
                <w:sz w:val="20"/>
                <w:szCs w:val="20"/>
              </w:rPr>
              <w:t>11</w:t>
            </w:r>
            <w:r w:rsidRPr="000600ED">
              <w:rPr>
                <w:rFonts w:asciiTheme="minorEastAsia" w:hAnsiTheme="minorEastAsia" w:hint="eastAsia"/>
                <w:sz w:val="20"/>
                <w:szCs w:val="20"/>
              </w:rPr>
              <w:t>歳以上</w:t>
            </w:r>
            <w:r w:rsidRPr="000600ED">
              <w:rPr>
                <w:rFonts w:asciiTheme="minorEastAsia" w:hAnsiTheme="minorEastAsia"/>
                <w:sz w:val="20"/>
                <w:szCs w:val="20"/>
              </w:rPr>
              <w:t>1.0g</w:t>
            </w:r>
            <w:r w:rsidRPr="000600ED">
              <w:rPr>
                <w:rFonts w:asciiTheme="minorEastAsia" w:hAnsiTheme="minorEastAsia" w:hint="eastAsia"/>
                <w:sz w:val="20"/>
                <w:szCs w:val="20"/>
              </w:rPr>
              <w:t>（</w:t>
            </w:r>
            <w:r w:rsidRPr="000600ED">
              <w:rPr>
                <w:rFonts w:asciiTheme="minorEastAsia" w:hAnsiTheme="minorEastAsia"/>
                <w:sz w:val="20"/>
                <w:szCs w:val="20"/>
              </w:rPr>
              <w:t>5mg</w:t>
            </w:r>
            <w:r w:rsidRPr="000600ED">
              <w:rPr>
                <w:rFonts w:asciiTheme="minorEastAsia" w:hAnsiTheme="minorEastAsia" w:hint="eastAsia"/>
                <w:sz w:val="20"/>
                <w:szCs w:val="20"/>
              </w:rPr>
              <w:t>）を、いずれも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w:t>
            </w:r>
          </w:p>
          <w:p w:rsidR="00000000"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下痢、発疹、かゆみ、じんましん、浮腫（顔、手足）、顔面潮紅、頻尿、血尿などの膀胱炎様症状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72" w:rsidRDefault="00AF0D72" w:rsidP="005676BB">
      <w:r>
        <w:separator/>
      </w:r>
    </w:p>
  </w:endnote>
  <w:endnote w:type="continuationSeparator" w:id="0">
    <w:p w:rsidR="00AF0D72" w:rsidRDefault="00AF0D7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C396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C396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72" w:rsidRDefault="00AF0D72" w:rsidP="005676BB">
      <w:r>
        <w:separator/>
      </w:r>
    </w:p>
  </w:footnote>
  <w:footnote w:type="continuationSeparator" w:id="0">
    <w:p w:rsidR="00AF0D72" w:rsidRDefault="00AF0D7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C3967"/>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AF0D7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2064-E15E-4C2A-9F26-6EC4778E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2018-09-03T01:59:00Z</dcterms:created>
  <dcterms:modified xsi:type="dcterms:W3CDTF">2018-09-03T01:59:00Z</dcterms:modified>
</cp:coreProperties>
</file>