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ガランターゼ散</w:t>
            </w:r>
            <w:r w:rsidRPr="000600ED">
              <w:rPr>
                <w:rFonts w:asciiTheme="majorEastAsia" w:eastAsiaTheme="majorEastAsia" w:hAnsiTheme="majorEastAsia"/>
                <w:b/>
                <w:sz w:val="24"/>
                <w:szCs w:val="24"/>
              </w:rPr>
              <w:t>50%</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β</w:t>
            </w:r>
            <w:r w:rsidRPr="000600ED">
              <w:rPr>
                <w:rFonts w:asciiTheme="minorEastAsia" w:hAnsiTheme="minorEastAsia"/>
                <w:sz w:val="20"/>
                <w:szCs w:val="20"/>
              </w:rPr>
              <w:t>-</w:t>
            </w:r>
            <w:r w:rsidRPr="000600ED">
              <w:rPr>
                <w:rFonts w:asciiTheme="minorEastAsia" w:hAnsiTheme="minorEastAsia" w:hint="eastAsia"/>
                <w:sz w:val="20"/>
                <w:szCs w:val="20"/>
              </w:rPr>
              <w:t>ガラクトシダーゼ（アスペルギルス）</w:t>
            </w:r>
            <w:r w:rsidRPr="000600ED">
              <w:rPr>
                <w:rFonts w:asciiTheme="minorEastAsia" w:hAnsiTheme="minorEastAsia"/>
                <w:sz w:val="20"/>
                <w:szCs w:val="20"/>
              </w:rPr>
              <w:t>(</w:t>
            </w:r>
            <w:r w:rsidRPr="000600ED">
              <w:rPr>
                <w:rFonts w:asciiTheme="minorEastAsia" w:hAnsiTheme="minorEastAsia" w:hint="eastAsia"/>
                <w:sz w:val="20"/>
                <w:szCs w:val="20"/>
              </w:rPr>
              <w:t>β</w:t>
            </w:r>
            <w:r w:rsidRPr="000600ED">
              <w:rPr>
                <w:rFonts w:asciiTheme="minorEastAsia" w:hAnsiTheme="minorEastAsia"/>
                <w:sz w:val="20"/>
                <w:szCs w:val="20"/>
              </w:rPr>
              <w:t>-Galactosidase (aspergillus))</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白色～淡黄色の散剤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（表）ガランターゼ散</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0.5g</w:t>
            </w:r>
            <w:r w:rsidR="000600ED" w:rsidRPr="000600ED">
              <w:rPr>
                <w:rFonts w:asciiTheme="minorEastAsia" w:hAnsiTheme="minorEastAsia" w:hint="eastAsia"/>
                <w:sz w:val="20"/>
                <w:szCs w:val="20"/>
              </w:rPr>
              <w:t>または</w:t>
            </w:r>
            <w:r w:rsidR="000600ED" w:rsidRPr="000600ED">
              <w:rPr>
                <w:rFonts w:asciiTheme="minorEastAsia" w:hAnsiTheme="minorEastAsia"/>
                <w:sz w:val="20"/>
                <w:szCs w:val="20"/>
              </w:rPr>
              <w:t>1g</w:t>
            </w:r>
          </w:p>
        </w:tc>
        <w:tc>
          <w:tcPr>
            <w:tcW w:w="2161" w:type="dxa"/>
          </w:tcPr>
          <w:p w:rsidR="00D24830" w:rsidRPr="000600ED" w:rsidRDefault="00B95B8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乳糖を分解して消化吸収を良くします。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通常、乳児の乳糖不耐（腸内の乳糖を分解する力が弱いこと）により生ずる消化不良の改善、経管栄養食・経口流動食など摂取時の乳糖不耐により生ずる下痢などの改善に用いられます。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bookmarkStart w:id="0" w:name="_GoBack"/>
        <w:bookmarkEnd w:id="0"/>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乳児の乳糖不耐により生ずる消化不良の改善</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0.25</w:t>
            </w:r>
            <w:r w:rsidRPr="000600ED">
              <w:rPr>
                <w:rFonts w:asciiTheme="minorEastAsia" w:hAnsiTheme="minorEastAsia" w:hint="eastAsia"/>
                <w:sz w:val="20"/>
                <w:szCs w:val="20"/>
              </w:rPr>
              <w:t>～</w:t>
            </w:r>
            <w:r w:rsidRPr="000600ED">
              <w:rPr>
                <w:rFonts w:asciiTheme="minorEastAsia" w:hAnsiTheme="minorEastAsia"/>
                <w:sz w:val="20"/>
                <w:szCs w:val="20"/>
              </w:rPr>
              <w:t>0.5g</w:t>
            </w:r>
            <w:r w:rsidRPr="000600ED">
              <w:rPr>
                <w:rFonts w:asciiTheme="minorEastAsia" w:hAnsiTheme="minorEastAsia" w:hint="eastAsia"/>
                <w:sz w:val="20"/>
                <w:szCs w:val="20"/>
              </w:rPr>
              <w:t>（主成分として</w:t>
            </w:r>
            <w:r w:rsidRPr="000600ED">
              <w:rPr>
                <w:rFonts w:asciiTheme="minorEastAsia" w:hAnsiTheme="minorEastAsia"/>
                <w:sz w:val="20"/>
                <w:szCs w:val="20"/>
              </w:rPr>
              <w:t>0.125</w:t>
            </w:r>
            <w:r w:rsidRPr="000600ED">
              <w:rPr>
                <w:rFonts w:asciiTheme="minorEastAsia" w:hAnsiTheme="minorEastAsia" w:hint="eastAsia"/>
                <w:sz w:val="20"/>
                <w:szCs w:val="20"/>
              </w:rPr>
              <w:t>～</w:t>
            </w:r>
            <w:r w:rsidRPr="000600ED">
              <w:rPr>
                <w:rFonts w:asciiTheme="minorEastAsia" w:hAnsiTheme="minorEastAsia"/>
                <w:sz w:val="20"/>
                <w:szCs w:val="20"/>
              </w:rPr>
              <w:t>0.25g</w:t>
            </w:r>
            <w:r w:rsidRPr="000600ED">
              <w:rPr>
                <w:rFonts w:asciiTheme="minorEastAsia" w:hAnsiTheme="minorEastAsia" w:hint="eastAsia"/>
                <w:sz w:val="20"/>
                <w:szCs w:val="20"/>
              </w:rPr>
              <w:t>）を授乳時に一緒に飲ませます。</w:t>
            </w:r>
          </w:p>
          <w:p w:rsidR="00000000" w:rsidRDefault="000600ED" w:rsidP="002B76BF">
            <w:pPr>
              <w:ind w:leftChars="200" w:left="420"/>
            </w:pPr>
            <w:r w:rsidRPr="000600ED">
              <w:rPr>
                <w:rFonts w:asciiTheme="minorEastAsia" w:hAnsiTheme="minorEastAsia" w:hint="eastAsia"/>
                <w:sz w:val="20"/>
                <w:szCs w:val="20"/>
                <w:u w:val="single"/>
              </w:rPr>
              <w:t>経管栄養食、経口流動食などの摂取時の乳糖不耐により生ずる下痢などの改善</w:t>
            </w:r>
            <w:r w:rsidRPr="000600ED">
              <w:rPr>
                <w:rFonts w:asciiTheme="minorEastAsia" w:hAnsiTheme="minorEastAsia" w:hint="eastAsia"/>
                <w:sz w:val="20"/>
                <w:szCs w:val="20"/>
              </w:rPr>
              <w:t>：通常、摂取する乳糖量</w:t>
            </w:r>
            <w:r w:rsidRPr="000600ED">
              <w:rPr>
                <w:rFonts w:asciiTheme="minorEastAsia" w:hAnsiTheme="minorEastAsia"/>
                <w:sz w:val="20"/>
                <w:szCs w:val="20"/>
              </w:rPr>
              <w:t>10g</w:t>
            </w:r>
            <w:r w:rsidRPr="000600ED">
              <w:rPr>
                <w:rFonts w:asciiTheme="minorEastAsia" w:hAnsiTheme="minorEastAsia" w:hint="eastAsia"/>
                <w:sz w:val="20"/>
                <w:szCs w:val="20"/>
              </w:rPr>
              <w:t>に対して</w:t>
            </w:r>
            <w:r w:rsidRPr="000600ED">
              <w:rPr>
                <w:rFonts w:asciiTheme="minorEastAsia" w:hAnsiTheme="minorEastAsia"/>
                <w:sz w:val="20"/>
                <w:szCs w:val="20"/>
              </w:rPr>
              <w:t>1g</w:t>
            </w:r>
            <w:r w:rsidRPr="000600ED">
              <w:rPr>
                <w:rFonts w:asciiTheme="minorEastAsia" w:hAnsiTheme="minorEastAsia" w:hint="eastAsia"/>
                <w:sz w:val="20"/>
                <w:szCs w:val="20"/>
              </w:rPr>
              <w:t>（主成分として</w:t>
            </w:r>
            <w:r w:rsidRPr="000600ED">
              <w:rPr>
                <w:rFonts w:asciiTheme="minorEastAsia" w:hAnsiTheme="minorEastAsia"/>
                <w:sz w:val="20"/>
                <w:szCs w:val="20"/>
              </w:rPr>
              <w:t>0.5g</w:t>
            </w:r>
            <w:r w:rsidRPr="000600ED">
              <w:rPr>
                <w:rFonts w:asciiTheme="minorEastAsia" w:hAnsiTheme="minorEastAsia" w:hint="eastAsia"/>
                <w:sz w:val="20"/>
                <w:szCs w:val="20"/>
              </w:rPr>
              <w:t>）を食事と一緒に服用しますが、症状により適宜増減されます。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1g</w:t>
            </w:r>
            <w:r w:rsidRPr="000600ED">
              <w:rPr>
                <w:rFonts w:asciiTheme="minorEastAsia" w:hAnsiTheme="minorEastAsia" w:hint="eastAsia"/>
                <w:sz w:val="20"/>
                <w:szCs w:val="20"/>
              </w:rPr>
              <w:t>中に主成分</w:t>
            </w:r>
            <w:r w:rsidRPr="000600ED">
              <w:rPr>
                <w:rFonts w:asciiTheme="minorEastAsia" w:hAnsiTheme="minorEastAsia"/>
                <w:sz w:val="20"/>
                <w:szCs w:val="20"/>
              </w:rPr>
              <w:t>0.5g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主な副作用として、乳児では発疹、腹部膨満感、嘔吐などが報告されています。成人では便秘、発疹などが報告されています。このような症状に気づいたら、担当の医師または薬剤師に相談してください。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・手足が冷たくなる、顔色がそう白になる、皮膚・唇・手足の爪が青紫色になる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88" w:rsidRDefault="00B95B88" w:rsidP="005676BB">
      <w:r>
        <w:separator/>
      </w:r>
    </w:p>
  </w:endnote>
  <w:endnote w:type="continuationSeparator" w:id="0">
    <w:p w:rsidR="00B95B88" w:rsidRDefault="00B95B8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D747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D747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88" w:rsidRDefault="00B95B88" w:rsidP="005676BB">
      <w:r>
        <w:separator/>
      </w:r>
    </w:p>
  </w:footnote>
  <w:footnote w:type="continuationSeparator" w:id="0">
    <w:p w:rsidR="00B95B88" w:rsidRDefault="00B95B8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7D7470"/>
    <w:rsid w:val="008B2922"/>
    <w:rsid w:val="009166E6"/>
    <w:rsid w:val="00A31947"/>
    <w:rsid w:val="00AB2DE2"/>
    <w:rsid w:val="00B95B88"/>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9EC3-D426-4E8C-A1A9-D59BE22C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2018-09-03T02:06:00Z</dcterms:created>
  <dcterms:modified xsi:type="dcterms:W3CDTF">2018-09-03T02:06:00Z</dcterms:modified>
</cp:coreProperties>
</file>