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モンテルカスト細粒</w:t>
            </w:r>
            <w:r w:rsidRPr="000600ED">
              <w:rPr>
                <w:rFonts w:asciiTheme="majorEastAsia" w:eastAsiaTheme="majorEastAsia" w:hAnsiTheme="majorEastAsia"/>
                <w:b/>
                <w:sz w:val="24"/>
                <w:szCs w:val="24"/>
              </w:rPr>
              <w:t>4mg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モンテルカストナトリウム</w:t>
            </w:r>
            <w:r w:rsidRPr="000600ED">
              <w:rPr>
                <w:rFonts w:asciiTheme="minorEastAsia" w:hAnsiTheme="minorEastAsia"/>
                <w:sz w:val="20"/>
                <w:szCs w:val="20"/>
              </w:rPr>
              <w:t>(Montelukast sodium)</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白色の細粒剤</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（表）モンテルカスト細粒</w:t>
            </w:r>
            <w:r w:rsidR="000600ED" w:rsidRPr="000600ED">
              <w:rPr>
                <w:rFonts w:asciiTheme="minorEastAsia" w:hAnsiTheme="minorEastAsia"/>
                <w:sz w:val="20"/>
                <w:szCs w:val="20"/>
              </w:rPr>
              <w:t>4mg</w:t>
            </w:r>
            <w:r w:rsidR="000600ED" w:rsidRPr="000600ED">
              <w:rPr>
                <w:rFonts w:asciiTheme="minorEastAsia" w:hAnsiTheme="minorEastAsia" w:hint="eastAsia"/>
                <w:sz w:val="20"/>
                <w:szCs w:val="20"/>
              </w:rPr>
              <w:t>「タナベ」、</w:t>
            </w:r>
            <w:r w:rsidR="000600ED" w:rsidRPr="000600ED">
              <w:rPr>
                <w:rFonts w:asciiTheme="minorEastAsia" w:hAnsiTheme="minorEastAsia"/>
                <w:sz w:val="20"/>
                <w:szCs w:val="20"/>
              </w:rPr>
              <w:t>4mg/</w:t>
            </w:r>
            <w:r w:rsidR="000600ED" w:rsidRPr="000600ED">
              <w:rPr>
                <w:rFonts w:asciiTheme="minorEastAsia" w:hAnsiTheme="minorEastAsia" w:hint="eastAsia"/>
                <w:sz w:val="20"/>
                <w:szCs w:val="20"/>
              </w:rPr>
              <w:t>包（</w:t>
            </w:r>
            <w:r w:rsidR="000600ED" w:rsidRPr="000600ED">
              <w:rPr>
                <w:rFonts w:asciiTheme="minorEastAsia" w:hAnsiTheme="minorEastAsia"/>
                <w:sz w:val="20"/>
                <w:szCs w:val="20"/>
              </w:rPr>
              <w:t>0.5g</w:t>
            </w:r>
            <w:r w:rsidR="000600ED" w:rsidRPr="000600ED">
              <w:rPr>
                <w:rFonts w:asciiTheme="minorEastAsia" w:hAnsiTheme="minorEastAsia" w:hint="eastAsia"/>
                <w:sz w:val="20"/>
                <w:szCs w:val="20"/>
              </w:rPr>
              <w:t>）</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（裏）モンテルカスト細粒</w:t>
            </w:r>
            <w:r w:rsidRPr="000600ED">
              <w:rPr>
                <w:rFonts w:asciiTheme="minorEastAsia" w:hAnsiTheme="minorEastAsia"/>
                <w:sz w:val="20"/>
                <w:szCs w:val="20"/>
              </w:rPr>
              <w:t>4mg</w:t>
            </w:r>
            <w:r w:rsidRPr="000600ED">
              <w:rPr>
                <w:rFonts w:asciiTheme="minorEastAsia" w:hAnsiTheme="minorEastAsia" w:hint="eastAsia"/>
                <w:sz w:val="20"/>
                <w:szCs w:val="20"/>
              </w:rPr>
              <w:t>「タナベ」</w:t>
            </w:r>
          </w:p>
        </w:tc>
        <w:tc>
          <w:tcPr>
            <w:tcW w:w="2161" w:type="dxa"/>
          </w:tcPr>
          <w:p w:rsidR="00D24830" w:rsidRPr="000600ED" w:rsidRDefault="00BD32AC"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61722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ロイコトリエンの作用を抑え、気管支の収縮を抑制することで、咳や喘鳴、息苦しさなどの症状を起こりにくくします。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通常、気管支喘息の治療に用いられます。既に起こっている発作を止める薬ではなく、発作を予防する薬です。発作を止めるには他の薬を使ってください。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・通常、小児（</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6</w:t>
            </w:r>
            <w:r w:rsidRPr="000600ED">
              <w:rPr>
                <w:rFonts w:asciiTheme="minorEastAsia" w:hAnsiTheme="minorEastAsia" w:hint="eastAsia"/>
                <w:sz w:val="20"/>
                <w:szCs w:val="20"/>
              </w:rPr>
              <w:t>歳未満）は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包（モンテルカストとして</w:t>
            </w:r>
            <w:r w:rsidRPr="000600ED">
              <w:rPr>
                <w:rFonts w:asciiTheme="minorEastAsia" w:hAnsiTheme="minorEastAsia"/>
                <w:sz w:val="20"/>
                <w:szCs w:val="20"/>
              </w:rPr>
              <w:t>4mg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回就寝前に服用します。体重・年齢・症状などによる用量調節は行われません。全量を開封後直ちに（</w:t>
            </w:r>
            <w:r w:rsidRPr="000600ED">
              <w:rPr>
                <w:rFonts w:asciiTheme="minorEastAsia" w:hAnsiTheme="minorEastAsia"/>
                <w:sz w:val="20"/>
                <w:szCs w:val="20"/>
              </w:rPr>
              <w:t>15</w:t>
            </w:r>
            <w:r w:rsidRPr="000600ED">
              <w:rPr>
                <w:rFonts w:asciiTheme="minorEastAsia" w:hAnsiTheme="minorEastAsia" w:hint="eastAsia"/>
                <w:sz w:val="20"/>
                <w:szCs w:val="20"/>
              </w:rPr>
              <w:t>分以内に）飲ませてください。口に直接入れるか、室温以下のスプーン一杯程度（約</w:t>
            </w:r>
            <w:r w:rsidRPr="000600ED">
              <w:rPr>
                <w:rFonts w:asciiTheme="minorEastAsia" w:hAnsiTheme="minorEastAsia"/>
                <w:sz w:val="20"/>
                <w:szCs w:val="20"/>
              </w:rPr>
              <w:t>5mL</w:t>
            </w:r>
            <w:r w:rsidRPr="000600ED">
              <w:rPr>
                <w:rFonts w:asciiTheme="minorEastAsia" w:hAnsiTheme="minorEastAsia" w:hint="eastAsia"/>
                <w:sz w:val="20"/>
                <w:szCs w:val="20"/>
              </w:rPr>
              <w:t>）の柔らかい食物、調製ミルクや母乳と混ぜて飲ませることもできます。服用後、水などの飲み物を飲ませても差し支えありません。必ず指示された服用方法に従ってください。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・飲み忘れた場合は、気がついた時、すぐに</w:t>
            </w:r>
            <w:r w:rsidRPr="000600ED">
              <w:rPr>
                <w:rFonts w:asciiTheme="minorEastAsia" w:hAnsiTheme="minorEastAsia"/>
                <w:sz w:val="20"/>
                <w:szCs w:val="20"/>
              </w:rPr>
              <w:t>1</w:t>
            </w:r>
            <w:r w:rsidRPr="000600ED">
              <w:rPr>
                <w:rFonts w:asciiTheme="minorEastAsia" w:hAnsiTheme="minorEastAsia" w:hint="eastAsia"/>
                <w:sz w:val="20"/>
                <w:szCs w:val="20"/>
              </w:rPr>
              <w:t>回分を飲ませてください。ただし、次の通常飲む時間が近い場合には飲ませないで、次の通常の服用時間に</w:t>
            </w:r>
            <w:r w:rsidRPr="000600ED">
              <w:rPr>
                <w:rFonts w:asciiTheme="minorEastAsia" w:hAnsiTheme="minorEastAsia"/>
                <w:sz w:val="20"/>
                <w:szCs w:val="20"/>
              </w:rPr>
              <w:t>1</w:t>
            </w:r>
            <w:r w:rsidRPr="000600ED">
              <w:rPr>
                <w:rFonts w:asciiTheme="minorEastAsia" w:hAnsiTheme="minorEastAsia" w:hint="eastAsia"/>
                <w:sz w:val="20"/>
                <w:szCs w:val="20"/>
              </w:rPr>
              <w:t>回分を飲ませてください。</w:t>
            </w:r>
            <w:r w:rsidRPr="000600ED">
              <w:rPr>
                <w:rFonts w:asciiTheme="minorEastAsia" w:hAnsiTheme="minorEastAsia"/>
                <w:sz w:val="20"/>
                <w:szCs w:val="20"/>
              </w:rPr>
              <w:t>2</w:t>
            </w:r>
            <w:r w:rsidRPr="000600ED">
              <w:rPr>
                <w:rFonts w:asciiTheme="minorEastAsia" w:hAnsiTheme="minorEastAsia" w:hint="eastAsia"/>
                <w:sz w:val="20"/>
                <w:szCs w:val="20"/>
              </w:rPr>
              <w:t>回分を一度に飲ませてはいけません。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・保護者の方は患者の状態を十分に観察し、異常が認められた場合には速やかに医師に連絡するなどの適切な処置をしてください。</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下痢、腹痛、吐き気、胸やけ、頭痛、肝機能異常、口渇、傾眠、胃不快感、倦怠感、発疹、かゆみ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・冷汗、顔面蒼白、呼吸困難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アナフィラキシー</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・息苦しい、顔・舌・咽頭の腫れ</w:t>
            </w:r>
            <w:r w:rsidRPr="000600ED">
              <w:rPr>
                <w:rFonts w:asciiTheme="minorEastAsia" w:hAnsiTheme="minorEastAsia"/>
                <w:sz w:val="20"/>
                <w:szCs w:val="20"/>
              </w:rPr>
              <w:t xml:space="preserve"> [</w:t>
            </w:r>
            <w:r w:rsidRPr="000600ED">
              <w:rPr>
                <w:rFonts w:asciiTheme="minorEastAsia" w:hAnsiTheme="minorEastAsia" w:hint="eastAsia"/>
                <w:sz w:val="20"/>
                <w:szCs w:val="20"/>
              </w:rPr>
              <w:t>血管浮腫</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・食欲不振、全身倦怠感、皮膚や結膜などが黄色くなる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劇症肝炎、肝炎、肝機能障害、黄疸</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・発熱、眼の充血、皮膚・粘膜の発疹・紅斑・水疱</w:t>
            </w:r>
            <w:r w:rsidRPr="000600ED">
              <w:rPr>
                <w:rFonts w:asciiTheme="minorEastAsia" w:hAnsiTheme="minorEastAsia"/>
                <w:sz w:val="20"/>
                <w:szCs w:val="20"/>
              </w:rPr>
              <w:t xml:space="preserve"> [</w:t>
            </w:r>
            <w:r w:rsidRPr="000600ED">
              <w:rPr>
                <w:rFonts w:asciiTheme="minorEastAsia" w:hAnsiTheme="minorEastAsia" w:hint="eastAsia"/>
                <w:sz w:val="20"/>
                <w:szCs w:val="20"/>
              </w:rPr>
              <w:t>中毒性表皮壊死融解症、皮膚粘膜眼症候群、多形紅斑</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・鼻血、歯ぐきの出血、四肢などの皮下出血</w:t>
            </w:r>
            <w:r w:rsidRPr="000600ED">
              <w:rPr>
                <w:rFonts w:asciiTheme="minorEastAsia" w:hAnsiTheme="minorEastAsia"/>
                <w:sz w:val="20"/>
                <w:szCs w:val="20"/>
              </w:rPr>
              <w:t xml:space="preserve"> [</w:t>
            </w:r>
            <w:r w:rsidRPr="000600ED">
              <w:rPr>
                <w:rFonts w:asciiTheme="minorEastAsia" w:hAnsiTheme="minorEastAsia" w:hint="eastAsia"/>
                <w:sz w:val="20"/>
                <w:szCs w:val="20"/>
              </w:rPr>
              <w:t>血小板減少</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・乳幼児、小児の手の届かないところで、光、高温、湿気を避けて保管してください。</w:t>
            </w:r>
          </w:p>
          <w:p w:rsidR="00000000" w:rsidRDefault="000600ED" w:rsidP="001456F1">
            <w:pPr>
              <w:ind w:leftChars="100" w:left="410" w:hangingChars="100" w:hanging="200"/>
            </w:pPr>
            <w:r w:rsidRPr="000600ED">
              <w:rPr>
                <w:rFonts w:asciiTheme="minorEastAsia" w:hAnsiTheme="minorEastAsia" w:hint="eastAsia"/>
                <w:sz w:val="20"/>
                <w:szCs w:val="20"/>
              </w:rPr>
              <w:t>・小分けしないで、</w:t>
            </w:r>
            <w:r w:rsidRPr="000600ED">
              <w:rPr>
                <w:rFonts w:asciiTheme="minorEastAsia" w:hAnsiTheme="minorEastAsia"/>
                <w:sz w:val="20"/>
                <w:szCs w:val="20"/>
              </w:rPr>
              <w:t>1</w:t>
            </w:r>
            <w:r w:rsidRPr="000600ED">
              <w:rPr>
                <w:rFonts w:asciiTheme="minorEastAsia" w:hAnsiTheme="minorEastAsia" w:hint="eastAsia"/>
                <w:sz w:val="20"/>
                <w:szCs w:val="20"/>
              </w:rPr>
              <w:t>回で</w:t>
            </w:r>
            <w:r w:rsidRPr="000600ED">
              <w:rPr>
                <w:rFonts w:asciiTheme="minorEastAsia" w:hAnsiTheme="minorEastAsia"/>
                <w:sz w:val="20"/>
                <w:szCs w:val="20"/>
              </w:rPr>
              <w:t>1</w:t>
            </w:r>
            <w:r w:rsidRPr="000600ED">
              <w:rPr>
                <w:rFonts w:asciiTheme="minorEastAsia" w:hAnsiTheme="minorEastAsia" w:hint="eastAsia"/>
                <w:sz w:val="20"/>
                <w:szCs w:val="20"/>
              </w:rPr>
              <w:t>包をすべて飲ませてください。飲み残した場合、後で飲ませたり、保存したりせずに廃棄してください。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w:t>
      </w:r>
      <w:r w:rsidRPr="000600ED">
        <w:rPr>
          <w:rFonts w:asciiTheme="minorEastAsia" w:hAnsiTheme="minorEastAsia" w:hint="eastAsia"/>
          <w:sz w:val="20"/>
          <w:szCs w:val="20"/>
        </w:rPr>
        <w:lastRenderedPageBreak/>
        <w:t>ド」、医療専門家向けの「添付文書情報」が医薬品医療機器総合機構のホームページに掲載されています。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2AC" w:rsidRDefault="00BD32AC" w:rsidP="005676BB">
      <w:r>
        <w:separator/>
      </w:r>
    </w:p>
  </w:endnote>
  <w:endnote w:type="continuationSeparator" w:id="0">
    <w:p w:rsidR="00BD32AC" w:rsidRDefault="00BD32AC"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F8609C">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F8609C">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2AC" w:rsidRDefault="00BD32AC" w:rsidP="005676BB">
      <w:r>
        <w:separator/>
      </w:r>
    </w:p>
  </w:footnote>
  <w:footnote w:type="continuationSeparator" w:id="0">
    <w:p w:rsidR="00BD32AC" w:rsidRDefault="00BD32AC"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3071A2"/>
    <w:rsid w:val="003333EC"/>
    <w:rsid w:val="003F20F5"/>
    <w:rsid w:val="00547602"/>
    <w:rsid w:val="005676BB"/>
    <w:rsid w:val="006A40B0"/>
    <w:rsid w:val="00764B98"/>
    <w:rsid w:val="007B113F"/>
    <w:rsid w:val="007D422F"/>
    <w:rsid w:val="008B2922"/>
    <w:rsid w:val="009166E6"/>
    <w:rsid w:val="00A142FA"/>
    <w:rsid w:val="00A31947"/>
    <w:rsid w:val="00AA4132"/>
    <w:rsid w:val="00AB2DE2"/>
    <w:rsid w:val="00BB5781"/>
    <w:rsid w:val="00BD32AC"/>
    <w:rsid w:val="00D24830"/>
    <w:rsid w:val="00D94F0B"/>
    <w:rsid w:val="00E0621B"/>
    <w:rsid w:val="00EA6A65"/>
    <w:rsid w:val="00F8609C"/>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73464-DE7A-4E71-A1F4-A2AAB9879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2018-09-13T07:24:00Z</dcterms:created>
  <dcterms:modified xsi:type="dcterms:W3CDTF">2018-09-13T07:24:00Z</dcterms:modified>
</cp:coreProperties>
</file>