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ポビドリンパスタ軟膏</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精製白糖</w:t>
            </w:r>
            <w:r w:rsidRPr="000600ED">
              <w:rPr>
                <w:rFonts w:asciiTheme="minorEastAsia" w:hAnsiTheme="minorEastAsia"/>
                <w:sz w:val="20"/>
                <w:szCs w:val="20"/>
              </w:rPr>
              <w:t>(Sucrose)</w:t>
            </w:r>
            <w:r w:rsidRPr="000600ED">
              <w:rPr>
                <w:rFonts w:asciiTheme="minorEastAsia" w:hAnsiTheme="minorEastAsia"/>
                <w:sz w:val="20"/>
                <w:szCs w:val="20"/>
              </w:rPr>
              <w:br/>
            </w:r>
            <w:r w:rsidRPr="000600ED">
              <w:rPr>
                <w:rFonts w:asciiTheme="minorEastAsia" w:hAnsiTheme="minorEastAsia" w:hint="eastAsia"/>
                <w:sz w:val="20"/>
                <w:szCs w:val="20"/>
              </w:rPr>
              <w:t>ポビドンヨード</w:t>
            </w:r>
            <w:r w:rsidRPr="000600ED">
              <w:rPr>
                <w:rFonts w:asciiTheme="minorEastAsia" w:hAnsiTheme="minorEastAsia"/>
                <w:sz w:val="20"/>
                <w:szCs w:val="20"/>
              </w:rPr>
              <w:t>(Povidone Iodine)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褐色の軟膏剤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2139D7"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創傷治癒作用のある成分と殺菌作用のある成分の配合剤で、患部に新しい肉芽や血管・表皮の形成を促進し、患部を菌から守り、治癒を促進します。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通常、褥瘡（床ずれ）、皮膚潰瘍（熱傷潰瘍、下腿潰瘍）の治療に用いられます。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・通常、患部を清拭後に、症状および患部の広さに応じて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回適量をガーゼにのばして貼付するか、または患部に直接塗ってその上をガーゼで保護します。必ず指示された使用方法に従ってください。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・眼科用ではないので、眼には使用しないでください。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・他の薬と混ぜないでください。</w:t>
            </w:r>
          </w:p>
          <w:p w:rsidR="00000000" w:rsidRDefault="000600ED" w:rsidP="001456F1">
            <w:pPr>
              <w:ind w:leftChars="100" w:left="410" w:hangingChars="100" w:hanging="200"/>
            </w:pPr>
            <w:r w:rsidRPr="000600ED">
              <w:rPr>
                <w:rFonts w:asciiTheme="minorEastAsia" w:hAnsiTheme="minorEastAsia" w:hint="eastAsia"/>
                <w:sz w:val="20"/>
                <w:szCs w:val="20"/>
              </w:rPr>
              <w:t>・使い忘れた場合は、気がついた時にできるだけ早く使ってください。ただし、次に使う時間が近い場合は、使わないで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回分を飛ばしてください。次回より指示どおり使ってください。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回分を一度に使ってはいけません。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・誤って多く使った場合は医師または薬剤師に相談してください。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副作用として皮膚の疼痛、発赤、刺激感、皮膚炎、かゆみなどが報告されています。このような症状に気づいたら、担当の医師または薬剤師に相談してください。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・呼吸困難、じんましん、浮腫</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2139D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2139D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139D7"/>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B4A3-8668-477C-91A6-EDBE089F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2018-06-01T00:01:00Z</dcterms:created>
  <dcterms:modified xsi:type="dcterms:W3CDTF">2018-06-01T00:01:00Z</dcterms:modified>
</cp:coreProperties>
</file>