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プロピベリン塩酸塩錠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プロピベリン塩酸塩</w:t>
            </w:r>
            <w:r w:rsidRPr="000600ED">
              <w:rPr>
                <w:rFonts w:asciiTheme="minorEastAsia" w:hAnsiTheme="minorEastAsia"/>
                <w:sz w:val="20"/>
                <w:szCs w:val="20"/>
              </w:rPr>
              <w:t>(Propiverine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7.1mm</w:t>
            </w:r>
            <w:r w:rsidRPr="000600ED">
              <w:rPr>
                <w:rFonts w:asciiTheme="minorEastAsia" w:hAnsiTheme="minorEastAsia" w:hint="eastAsia"/>
                <w:sz w:val="20"/>
                <w:szCs w:val="20"/>
              </w:rPr>
              <w:t>、厚さ</w:t>
            </w:r>
            <w:r w:rsidRPr="000600ED">
              <w:rPr>
                <w:rFonts w:asciiTheme="minorEastAsia" w:hAnsiTheme="minorEastAsia"/>
                <w:sz w:val="20"/>
                <w:szCs w:val="20"/>
              </w:rPr>
              <w:t>3.0mm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（表）プロピベリン塩酸塩</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「タナベ」、プロピベリン塩酸塩、</w:t>
            </w:r>
            <w:r w:rsidR="000600ED" w:rsidRPr="000600ED">
              <w:rPr>
                <w:rFonts w:asciiTheme="minorEastAsia" w:hAnsiTheme="minorEastAsia"/>
                <w:sz w:val="20"/>
                <w:szCs w:val="20"/>
              </w:rPr>
              <w:t>TG172</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10mg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Propiverine Hydrochloride10mg</w:t>
            </w:r>
            <w:r w:rsidRPr="000600ED">
              <w:rPr>
                <w:rFonts w:asciiTheme="minorEastAsia" w:hAnsiTheme="minorEastAsia" w:hint="eastAsia"/>
                <w:sz w:val="20"/>
                <w:szCs w:val="20"/>
              </w:rPr>
              <w:t>、プロピベリン塩酸塩</w:t>
            </w:r>
            <w:r w:rsidRPr="000600ED">
              <w:rPr>
                <w:rFonts w:asciiTheme="minorEastAsia" w:hAnsiTheme="minorEastAsia"/>
                <w:sz w:val="20"/>
                <w:szCs w:val="20"/>
              </w:rPr>
              <w:t>10mg</w:t>
            </w:r>
            <w:r w:rsidRPr="000600ED">
              <w:rPr>
                <w:rFonts w:asciiTheme="minorEastAsia" w:hAnsiTheme="minorEastAsia" w:hint="eastAsia"/>
                <w:sz w:val="20"/>
                <w:szCs w:val="20"/>
              </w:rPr>
              <w:t>、</w:t>
            </w:r>
            <w:r w:rsidRPr="000600ED">
              <w:rPr>
                <w:rFonts w:asciiTheme="minorEastAsia" w:hAnsiTheme="minorEastAsia"/>
                <w:sz w:val="20"/>
                <w:szCs w:val="20"/>
              </w:rPr>
              <w:t>10mg</w:t>
            </w:r>
          </w:p>
        </w:tc>
        <w:tc>
          <w:tcPr>
            <w:tcW w:w="2161" w:type="dxa"/>
          </w:tcPr>
          <w:p w:rsidR="00D24830" w:rsidRPr="000600ED" w:rsidRDefault="00335988"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抗コリン作用およびカルシウム拮抗作用により、膀胱平滑筋の収縮を抑え、膀胱容量を増加させ、排尿運動を抑制します。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通常、慢性膀胱炎や慢性前立腺炎などに伴う頻尿、尿失禁の治療や、過活動膀胱における尿意切迫感、頻尿および切迫性尿失禁の治療に用いられます。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胃腸管が閉塞している、胃・腸アトニー、尿閉、緑内障、重症筋無力症、心疾患、不整脈、肝障害、腎障害、パーキンソン症状、脳血管障害、潰瘍性大腸炎、甲状腺機能亢進症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回食後に服用します。年齢・症状により適宜増減され、効果不十分の場合は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回まで増量されます。必ず指示された服用方法に従ってください。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回分を飲んでください。ただし、次の服用時間まで</w:t>
            </w:r>
            <w:r w:rsidRPr="000600ED">
              <w:rPr>
                <w:rFonts w:asciiTheme="minorEastAsia" w:hAnsiTheme="minorEastAsia"/>
                <w:sz w:val="20"/>
                <w:szCs w:val="20"/>
              </w:rPr>
              <w:t>8</w:t>
            </w:r>
            <w:r w:rsidRPr="000600ED">
              <w:rPr>
                <w:rFonts w:asciiTheme="minorEastAsia" w:hAnsiTheme="minorEastAsia" w:hint="eastAsia"/>
                <w:sz w:val="20"/>
                <w:szCs w:val="20"/>
              </w:rPr>
              <w:t>時間以上あけるようにしてください。次の通常服用する時間が近い場合は、忘れた分は飲まずに</w:t>
            </w:r>
            <w:r w:rsidRPr="000600ED">
              <w:rPr>
                <w:rFonts w:asciiTheme="minorEastAsia" w:hAnsiTheme="minorEastAsia"/>
                <w:sz w:val="20"/>
                <w:szCs w:val="20"/>
              </w:rPr>
              <w:t>1</w:t>
            </w:r>
            <w:r w:rsidRPr="000600ED">
              <w:rPr>
                <w:rFonts w:asciiTheme="minorEastAsia" w:hAnsiTheme="minorEastAsia" w:hint="eastAsia"/>
                <w:sz w:val="20"/>
                <w:szCs w:val="20"/>
              </w:rPr>
              <w:t>回分をとばしてください。絶対に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・眼の調節障害（見えにくい）、眠気、めまいなどがあらわれることがあるので、車の運転など危険を伴う機械の操作はしないでください。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口渇、便秘、腹痛、排尿困難、残尿、眼の調節障害、意識障害、パーキンソン症状（手足のふるえなど）、ジスキネジア（舌のもつれなど）、徐脈、かゆみ、発疹、じんましん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・吐き気、頭痛を伴う眼痛、視力低下</w:t>
            </w:r>
            <w:r w:rsidRPr="000600ED">
              <w:rPr>
                <w:rFonts w:asciiTheme="minorEastAsia" w:hAnsiTheme="minorEastAsia"/>
                <w:sz w:val="20"/>
                <w:szCs w:val="20"/>
              </w:rPr>
              <w:t xml:space="preserve"> [</w:t>
            </w:r>
            <w:r w:rsidRPr="000600ED">
              <w:rPr>
                <w:rFonts w:asciiTheme="minorEastAsia" w:hAnsiTheme="minorEastAsia" w:hint="eastAsia"/>
                <w:sz w:val="20"/>
                <w:szCs w:val="20"/>
              </w:rPr>
              <w:t>急性緑内障発作</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・便秘、おなかが張る</w:t>
            </w:r>
            <w:r w:rsidRPr="000600ED">
              <w:rPr>
                <w:rFonts w:asciiTheme="minorEastAsia" w:hAnsiTheme="minorEastAsia"/>
                <w:sz w:val="20"/>
                <w:szCs w:val="20"/>
              </w:rPr>
              <w:t xml:space="preserve"> [</w:t>
            </w:r>
            <w:r w:rsidRPr="000600ED">
              <w:rPr>
                <w:rFonts w:asciiTheme="minorEastAsia" w:hAnsiTheme="minorEastAsia" w:hint="eastAsia"/>
                <w:sz w:val="20"/>
                <w:szCs w:val="20"/>
              </w:rPr>
              <w:t>麻ひ性イレウス</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・発熱、紅斑（皮膚の赤い発疹）、眼の充血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・胸痛、動悸、息切れ</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延長、心室性頻拍</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w:t>
      </w:r>
      <w:r w:rsidRPr="000600ED">
        <w:rPr>
          <w:rFonts w:asciiTheme="minorEastAsia" w:hAnsiTheme="minorEastAsia" w:hint="eastAsia"/>
          <w:sz w:val="20"/>
          <w:szCs w:val="20"/>
        </w:rPr>
        <w:lastRenderedPageBreak/>
        <w:t>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88" w:rsidRDefault="00335988" w:rsidP="005676BB">
      <w:r>
        <w:separator/>
      </w:r>
    </w:p>
  </w:endnote>
  <w:endnote w:type="continuationSeparator" w:id="0">
    <w:p w:rsidR="00335988" w:rsidRDefault="0033598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70134">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70134">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88" w:rsidRDefault="00335988" w:rsidP="005676BB">
      <w:r>
        <w:separator/>
      </w:r>
    </w:p>
  </w:footnote>
  <w:footnote w:type="continuationSeparator" w:id="0">
    <w:p w:rsidR="00335988" w:rsidRDefault="0033598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70134"/>
    <w:rsid w:val="001D7781"/>
    <w:rsid w:val="002209A5"/>
    <w:rsid w:val="002376F2"/>
    <w:rsid w:val="002A4A81"/>
    <w:rsid w:val="003071A2"/>
    <w:rsid w:val="003333EC"/>
    <w:rsid w:val="00335988"/>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A015-F1AD-4939-B0FB-7AAC1351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2018-09-19T07:19:00Z</dcterms:created>
  <dcterms:modified xsi:type="dcterms:W3CDTF">2018-09-19T07:19:00Z</dcterms:modified>
</cp:coreProperties>
</file>