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ピオグリタゾン錠</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ピオグリタゾン塩酸塩</w:t>
            </w:r>
            <w:r w:rsidRPr="000600ED">
              <w:rPr>
                <w:rFonts w:asciiTheme="minorEastAsia" w:hAnsiTheme="minorEastAsia"/>
                <w:sz w:val="20"/>
                <w:szCs w:val="20"/>
              </w:rPr>
              <w:t>(Pioglitazone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白色～帯黄白色の錠剤、直径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（表）ピオグリタゾン</w:t>
            </w:r>
            <w:r w:rsidR="000600ED" w:rsidRPr="000600ED">
              <w:rPr>
                <w:rFonts w:asciiTheme="minorEastAsia" w:hAnsiTheme="minorEastAsia"/>
                <w:sz w:val="20"/>
                <w:szCs w:val="20"/>
              </w:rPr>
              <w:t>30mg</w:t>
            </w:r>
            <w:r w:rsidR="000600ED" w:rsidRPr="000600ED">
              <w:rPr>
                <w:rFonts w:asciiTheme="minorEastAsia" w:hAnsiTheme="minorEastAsia" w:hint="eastAsia"/>
                <w:sz w:val="20"/>
                <w:szCs w:val="20"/>
              </w:rPr>
              <w:t>「タナベ」、糖尿病用薬、ピオグリタゾン、</w:t>
            </w:r>
            <w:r w:rsidR="000600ED" w:rsidRPr="000600ED">
              <w:rPr>
                <w:rFonts w:asciiTheme="minorEastAsia" w:hAnsiTheme="minorEastAsia"/>
                <w:sz w:val="20"/>
                <w:szCs w:val="20"/>
              </w:rPr>
              <w:t>TG61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30</w:t>
            </w:r>
            <w:r w:rsidR="000600ED" w:rsidRPr="000600ED">
              <w:rPr>
                <w:rFonts w:asciiTheme="minorEastAsia" w:hAnsiTheme="minorEastAsia" w:hint="eastAsia"/>
                <w:sz w:val="20"/>
                <w:szCs w:val="20"/>
              </w:rPr>
              <w:t>、</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Pioglitazone 30mg</w:t>
            </w:r>
            <w:r w:rsidRPr="000600ED">
              <w:rPr>
                <w:rFonts w:asciiTheme="minorEastAsia" w:hAnsiTheme="minorEastAsia" w:hint="eastAsia"/>
                <w:sz w:val="20"/>
                <w:szCs w:val="20"/>
              </w:rPr>
              <w:t>、糖尿病用薬、ピオグリタゾン</w:t>
            </w:r>
            <w:r w:rsidRPr="000600ED">
              <w:rPr>
                <w:rFonts w:asciiTheme="minorEastAsia" w:hAnsiTheme="minorEastAsia"/>
                <w:sz w:val="20"/>
                <w:szCs w:val="20"/>
              </w:rPr>
              <w:t>30mg</w:t>
            </w:r>
            <w:r w:rsidRPr="000600ED">
              <w:rPr>
                <w:rFonts w:asciiTheme="minorEastAsia" w:hAnsiTheme="minorEastAsia" w:hint="eastAsia"/>
                <w:sz w:val="20"/>
                <w:szCs w:val="20"/>
              </w:rPr>
              <w:t>「タナベ」</w:t>
            </w:r>
          </w:p>
        </w:tc>
        <w:tc>
          <w:tcPr>
            <w:tcW w:w="2161" w:type="dxa"/>
          </w:tcPr>
          <w:p w:rsidR="00D24830" w:rsidRPr="000600ED" w:rsidRDefault="00C1661E"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インスリンが働きにくい状態（インスリン抵抗性）を改善し、肝臓での糖の産生を抑えたり、脂肪と筋肉において糖の取り込みを促進して、血糖値を下げます。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型糖尿病の治療に用いられます。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・以前に薬を使用して、かゆみ、発疹などのアレルギー症状が出たことがある。心臓疾患およびその既往歴、ケトーシス、糖尿病性昏睡または前昏睡、</w:t>
            </w:r>
            <w:r w:rsidRPr="000600ED">
              <w:rPr>
                <w:rFonts w:asciiTheme="minorEastAsia" w:hAnsiTheme="minorEastAsia"/>
                <w:sz w:val="20"/>
                <w:szCs w:val="20"/>
              </w:rPr>
              <w:t>1</w:t>
            </w:r>
            <w:r w:rsidRPr="000600ED">
              <w:rPr>
                <w:rFonts w:asciiTheme="minorEastAsia" w:hAnsiTheme="minorEastAsia" w:hint="eastAsia"/>
                <w:sz w:val="20"/>
                <w:szCs w:val="20"/>
              </w:rPr>
              <w:t>型糖尿病、肝臓疾患、腎臓疾患、重症感染症、手術前後、ケガをしている、脳下垂体異常、副腎疾患、十分な食事を摂取していない、衰弱している、激しい運動をしている、酒を大量に飲んでいる、膀胱がんまたは膀胱がんの既往、糖尿病性網膜症</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錠（ピオグリタゾンとして</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回朝食前または朝食後に服用します。性別・年齢・症状により適宜増減されますが、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1.5</w:t>
            </w:r>
            <w:r w:rsidRPr="000600ED">
              <w:rPr>
                <w:rFonts w:asciiTheme="minorEastAsia" w:hAnsiTheme="minorEastAsia" w:hint="eastAsia"/>
                <w:sz w:val="20"/>
                <w:szCs w:val="20"/>
              </w:rPr>
              <w:t>錠（</w:t>
            </w:r>
            <w:r w:rsidRPr="000600ED">
              <w:rPr>
                <w:rFonts w:asciiTheme="minorEastAsia" w:hAnsiTheme="minorEastAsia"/>
                <w:sz w:val="20"/>
                <w:szCs w:val="20"/>
              </w:rPr>
              <w:t>45mg</w:t>
            </w:r>
            <w:r w:rsidRPr="000600ED">
              <w:rPr>
                <w:rFonts w:asciiTheme="minorEastAsia" w:hAnsiTheme="minorEastAsia" w:hint="eastAsia"/>
                <w:sz w:val="20"/>
                <w:szCs w:val="20"/>
              </w:rPr>
              <w:t>）が上限です。</w:t>
            </w:r>
          </w:p>
          <w:p w:rsidR="00000000" w:rsidRDefault="000600ED" w:rsidP="002B76BF">
            <w:pPr>
              <w:ind w:leftChars="200" w:left="420"/>
            </w:pPr>
            <w:r w:rsidRPr="000600ED">
              <w:rPr>
                <w:rFonts w:asciiTheme="minorEastAsia" w:hAnsiTheme="minorEastAsia" w:hint="eastAsia"/>
                <w:sz w:val="20"/>
                <w:szCs w:val="20"/>
              </w:rPr>
              <w:t>インスリン製剤と併用する場合は、通常、成人は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錠（ピオグリタゾンとして</w:t>
            </w:r>
            <w:r w:rsidRPr="000600ED">
              <w:rPr>
                <w:rFonts w:asciiTheme="minorEastAsia" w:hAnsiTheme="minorEastAsia"/>
                <w:sz w:val="20"/>
                <w:szCs w:val="20"/>
              </w:rPr>
              <w:t>15mg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回朝食前または朝食後に服用します。性別・年齢・症状により適宜増減されますが、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30mg</w:t>
            </w:r>
            <w:r w:rsidRPr="000600ED">
              <w:rPr>
                <w:rFonts w:asciiTheme="minorEastAsia" w:hAnsiTheme="minorEastAsia" w:hint="eastAsia"/>
                <w:sz w:val="20"/>
                <w:szCs w:val="20"/>
              </w:rPr>
              <w:t>）が上限です。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・飲み忘れた場合は、昼までであればできるだけ早く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回分を飲んでください。低血糖のおそれがあるので、激しい運動をした後や空腹時には飲まないでください。絶対に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・指示された食事療法や運動療法をきちんと守ってください。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・低血糖を起こす事がありますので、高所での作業や車の運転をする際には十分注意してください。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・低血糖症状が起こった時には十分量の糖分（砂糖、ブドウ糖、清涼飲料水など）をとるようにしてください。α</w:t>
            </w:r>
            <w:r w:rsidRPr="000600ED">
              <w:rPr>
                <w:rFonts w:asciiTheme="minorEastAsia" w:hAnsiTheme="minorEastAsia"/>
                <w:sz w:val="20"/>
                <w:szCs w:val="20"/>
              </w:rPr>
              <w:t>-</w:t>
            </w:r>
            <w:r w:rsidRPr="000600ED">
              <w:rPr>
                <w:rFonts w:asciiTheme="minorEastAsia" w:hAnsiTheme="minorEastAsia" w:hint="eastAsia"/>
                <w:sz w:val="20"/>
                <w:szCs w:val="20"/>
              </w:rPr>
              <w:t>グルコシダーゼ阻害剤（ボグリボースやアカルボースなどの糖分の吸収を遅らせる薬）と同時に服用中の方は、低血糖症状が起こった時にはブドウ糖をとるようにしてください。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が膀胱がんの原因と断定されたわけではありませんが、外国において，この薬を使用した場合、その期間が長くなるにしたがって膀胱がんになる可能性が高くなるとの報告がありますので、この薬の使用中は定期的に尿検査などが行われます。血尿、頻尿、排尿時の痛みなどがあらわれたら、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貧血、血圧上昇、動悸、胸部圧迫感、顔面潮紅、発疹、湿疹、かゆみ、吐き気・嘔吐、胃部不快感、胸やけ、腹痛、腹部膨満感、下痢、便秘、食欲亢進、食欲不振、めまい、ふらつき、頭痛、眠気、けん怠感、脱力感、しびれ、体重増加、糖尿病性網膜症の悪化、息切れ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・むくみ、急激な体重増加、息切れ、動悸</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・むくみ、急激な体重増加</w:t>
            </w:r>
            <w:r w:rsidRPr="000600ED">
              <w:rPr>
                <w:rFonts w:asciiTheme="minorEastAsia" w:hAnsiTheme="minorEastAsia"/>
                <w:sz w:val="20"/>
                <w:szCs w:val="20"/>
              </w:rPr>
              <w:t xml:space="preserve"> [</w:t>
            </w:r>
            <w:r w:rsidRPr="000600ED">
              <w:rPr>
                <w:rFonts w:asciiTheme="minorEastAsia" w:hAnsiTheme="minorEastAsia" w:hint="eastAsia"/>
                <w:sz w:val="20"/>
                <w:szCs w:val="20"/>
              </w:rPr>
              <w:t>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・冷や汗がでる、空腹感、手足のふるえ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・脱力感、筋肉痛、褐色の尿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1E" w:rsidRDefault="00C1661E" w:rsidP="005676BB">
      <w:r>
        <w:separator/>
      </w:r>
    </w:p>
  </w:endnote>
  <w:endnote w:type="continuationSeparator" w:id="0">
    <w:p w:rsidR="00C1661E" w:rsidRDefault="00C1661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E019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E0190">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1E" w:rsidRDefault="00C1661E" w:rsidP="005676BB">
      <w:r>
        <w:separator/>
      </w:r>
    </w:p>
  </w:footnote>
  <w:footnote w:type="continuationSeparator" w:id="0">
    <w:p w:rsidR="00C1661E" w:rsidRDefault="00C1661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1E0190"/>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C1661E"/>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9F87-BA2C-4B4D-898C-4D75459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2018-03-01T00:24:00Z</dcterms:created>
  <dcterms:modified xsi:type="dcterms:W3CDTF">2018-03-01T00:24:00Z</dcterms:modified>
</cp:coreProperties>
</file>