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パロキセチン錠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パロキセチン塩酸塩水和物</w:t>
            </w:r>
            <w:r w:rsidRPr="000600ED">
              <w:rPr>
                <w:rFonts w:asciiTheme="minorEastAsia" w:hAnsiTheme="minorEastAsia"/>
                <w:sz w:val="20"/>
                <w:szCs w:val="20"/>
              </w:rPr>
              <w:t>(Paroxetine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3.8mm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（表）パロキセチン錠</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「タナベ」、パロキセチン錠、</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TG211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Paroxetine tab.5mg</w:t>
            </w:r>
            <w:r w:rsidRPr="000600ED">
              <w:rPr>
                <w:rFonts w:asciiTheme="minorEastAsia" w:hAnsiTheme="minorEastAsia" w:hint="eastAsia"/>
                <w:sz w:val="20"/>
                <w:szCs w:val="20"/>
              </w:rPr>
              <w:t>、パロキセチン錠</w:t>
            </w:r>
            <w:r w:rsidRPr="000600ED">
              <w:rPr>
                <w:rFonts w:asciiTheme="minorEastAsia" w:hAnsiTheme="minorEastAsia"/>
                <w:sz w:val="20"/>
                <w:szCs w:val="20"/>
              </w:rPr>
              <w:t>5mg</w:t>
            </w:r>
            <w:r w:rsidRPr="000600ED">
              <w:rPr>
                <w:rFonts w:asciiTheme="minorEastAsia" w:hAnsiTheme="minorEastAsia" w:hint="eastAsia"/>
                <w:sz w:val="20"/>
                <w:szCs w:val="20"/>
              </w:rPr>
              <w:t>「タナベ」</w:t>
            </w:r>
          </w:p>
        </w:tc>
        <w:tc>
          <w:tcPr>
            <w:tcW w:w="2161" w:type="dxa"/>
          </w:tcPr>
          <w:p w:rsidR="00D24830" w:rsidRPr="000600ED" w:rsidRDefault="0026141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神経伝達物質であるセロトニンの取り込みを抑制する作用があり、抗うつ作用や抗不安作用を示します。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通常、うつ病・うつ状態、パニック障害、強迫性障害、社会不安障害、外傷後ストレス障害の治療に用いられます。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躁うつ病、自殺念慮、脳の器質的障害または統合失調症の素因、衝動性が高い併存障害、緑内障、出血傾向または出血性素因がある。てんかん、自殺念慮または自殺企図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うつ病・うつ状態</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w:t>
            </w:r>
            <w:r w:rsidRPr="000600ED">
              <w:rPr>
                <w:rFonts w:asciiTheme="minorEastAsia" w:hAnsiTheme="minorEastAsia" w:hint="eastAsia"/>
                <w:sz w:val="20"/>
                <w:szCs w:val="20"/>
              </w:rPr>
              <w:t>～</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パニック障害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強迫性障害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社会不安障害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外傷後ストレス障害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錠中にパロキセチンとして</w:t>
            </w:r>
            <w:r w:rsidRPr="000600ED">
              <w:rPr>
                <w:rFonts w:asciiTheme="minorEastAsia" w:hAnsiTheme="minorEastAsia"/>
                <w:sz w:val="20"/>
                <w:szCs w:val="20"/>
              </w:rPr>
              <w:t>5mg</w:t>
            </w:r>
            <w:r w:rsidRPr="000600ED">
              <w:rPr>
                <w:rFonts w:asciiTheme="minorEastAsia" w:hAnsiTheme="minorEastAsia" w:hint="eastAsia"/>
                <w:sz w:val="20"/>
                <w:szCs w:val="20"/>
              </w:rPr>
              <w:t>を含有します。いずれの場合も、必ず指示された服用方法に従ってください。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w:t>
            </w:r>
            <w:r w:rsidRPr="000600ED">
              <w:rPr>
                <w:rFonts w:asciiTheme="minorEastAsia" w:hAnsiTheme="minorEastAsia"/>
                <w:sz w:val="20"/>
                <w:szCs w:val="20"/>
              </w:rPr>
              <w:t>5mg</w:t>
            </w:r>
            <w:r w:rsidRPr="000600ED">
              <w:rPr>
                <w:rFonts w:asciiTheme="minorEastAsia" w:hAnsiTheme="minorEastAsia" w:hint="eastAsia"/>
                <w:sz w:val="20"/>
                <w:szCs w:val="20"/>
              </w:rPr>
              <w:t>錠は、主に減量または中止時に使用されます。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突然服用をやめたり、薬の量を減らすと、めまい、吐き気、発汗などで我慢できない症状があらわれることがあるので、絶対に避け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・眠気、めまいなどが起こることがありますので、自動車の運転など危険を伴う機械を操作する時は十分注意してください。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・アルコールは薬の作用を強めるおそれがありますので、服用中は飲酒を避けてください。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・セイヨウオトギリソウ（セント・ジョーンズ・ワート）含有食品は薬の作用を強めるおそれがあるので、注意してください。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主な副作用として、吐き気、眠気、口渇、めまい、便秘、頭痛などが報告されています。このような症状に気づいたら、担当の医師または薬剤師に相談してください。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・不安、興奮、手の震え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・急激な発熱、筋肉のこわばり、意識障害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・考えがまとまらない、現実には存在しない物が見えたり、ない音が聞こえる、筋肉が発作的に収縮する状態</w:t>
            </w:r>
            <w:r w:rsidRPr="000600ED">
              <w:rPr>
                <w:rFonts w:asciiTheme="minorEastAsia" w:hAnsiTheme="minorEastAsia"/>
                <w:sz w:val="20"/>
                <w:szCs w:val="20"/>
              </w:rPr>
              <w:t xml:space="preserve"> [</w:t>
            </w:r>
            <w:r w:rsidRPr="000600ED">
              <w:rPr>
                <w:rFonts w:asciiTheme="minorEastAsia" w:hAnsiTheme="minorEastAsia" w:hint="eastAsia"/>
                <w:sz w:val="20"/>
                <w:szCs w:val="20"/>
              </w:rPr>
              <w:t>錯乱、幻覚、せん妄、痙攣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・けいれん、意識の低下、頭痛</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・体がだるい、白目が黄色くなる、食欲不振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1F" w:rsidRDefault="0026141F" w:rsidP="005676BB">
      <w:r>
        <w:separator/>
      </w:r>
    </w:p>
  </w:endnote>
  <w:endnote w:type="continuationSeparator" w:id="0">
    <w:p w:rsidR="0026141F" w:rsidRDefault="0026141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B584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3B584F">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1F" w:rsidRDefault="0026141F" w:rsidP="005676BB">
      <w:r>
        <w:separator/>
      </w:r>
    </w:p>
  </w:footnote>
  <w:footnote w:type="continuationSeparator" w:id="0">
    <w:p w:rsidR="0026141F" w:rsidRDefault="0026141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6141F"/>
    <w:rsid w:val="002A4A81"/>
    <w:rsid w:val="002B76BF"/>
    <w:rsid w:val="003071A2"/>
    <w:rsid w:val="003333EC"/>
    <w:rsid w:val="003B584F"/>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498F-EB9A-4427-A5DF-85884078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2018-09-13T07:14:00Z</dcterms:created>
  <dcterms:modified xsi:type="dcterms:W3CDTF">2018-09-13T07:14:00Z</dcterms:modified>
</cp:coreProperties>
</file>