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ナイキサン錠</w:t>
            </w:r>
            <w:r w:rsidRPr="000600ED">
              <w:rPr>
                <w:rFonts w:asciiTheme="majorEastAsia" w:eastAsiaTheme="majorEastAsia" w:hAnsiTheme="majorEastAsia"/>
                <w:b/>
                <w:sz w:val="24"/>
                <w:szCs w:val="24"/>
              </w:rPr>
              <w:t>100mg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ナプロキセン</w:t>
            </w:r>
            <w:r w:rsidRPr="000600ED">
              <w:rPr>
                <w:rFonts w:asciiTheme="minorEastAsia" w:hAnsiTheme="minorEastAsia"/>
                <w:sz w:val="20"/>
                <w:szCs w:val="20"/>
              </w:rPr>
              <w:t>(Naproxen)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3.5mm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Naixan100mg</w:t>
            </w:r>
            <w:r w:rsidR="000600ED" w:rsidRPr="000600ED">
              <w:rPr>
                <w:rFonts w:asciiTheme="minorEastAsia" w:hAnsiTheme="minorEastAsia" w:hint="eastAsia"/>
                <w:sz w:val="20"/>
                <w:szCs w:val="20"/>
              </w:rPr>
              <w:t>、ナイキサン</w:t>
            </w:r>
            <w:r w:rsidR="000600ED" w:rsidRPr="000600ED">
              <w:rPr>
                <w:rFonts w:asciiTheme="minorEastAsia" w:hAnsiTheme="minorEastAsia"/>
                <w:sz w:val="20"/>
                <w:szCs w:val="20"/>
              </w:rPr>
              <w:t>100mg</w:t>
            </w:r>
            <w:r w:rsidR="000600ED" w:rsidRPr="000600ED">
              <w:rPr>
                <w:rFonts w:asciiTheme="minorEastAsia" w:hAnsiTheme="minorEastAsia" w:hint="eastAsia"/>
                <w:sz w:val="20"/>
                <w:szCs w:val="20"/>
              </w:rPr>
              <w:t>、ナイキサン</w:t>
            </w:r>
            <w:r w:rsidR="000600ED" w:rsidRPr="000600ED">
              <w:rPr>
                <w:rFonts w:asciiTheme="minorEastAsia" w:hAnsiTheme="minorEastAsia"/>
                <w:sz w:val="20"/>
                <w:szCs w:val="20"/>
              </w:rPr>
              <w:t>100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TA124</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（裏）ナイキサン</w:t>
            </w:r>
            <w:r w:rsidRPr="000600ED">
              <w:rPr>
                <w:rFonts w:asciiTheme="minorEastAsia" w:hAnsiTheme="minorEastAsia"/>
                <w:sz w:val="20"/>
                <w:szCs w:val="20"/>
              </w:rPr>
              <w:t>100mg</w:t>
            </w:r>
            <w:r w:rsidRPr="000600ED">
              <w:rPr>
                <w:rFonts w:asciiTheme="minorEastAsia" w:hAnsiTheme="minorEastAsia" w:hint="eastAsia"/>
                <w:sz w:val="20"/>
                <w:szCs w:val="20"/>
              </w:rPr>
              <w:t>、ナイキサン、</w:t>
            </w:r>
            <w:r w:rsidRPr="000600ED">
              <w:rPr>
                <w:rFonts w:asciiTheme="minorEastAsia" w:hAnsiTheme="minorEastAsia"/>
                <w:sz w:val="20"/>
                <w:szCs w:val="20"/>
              </w:rPr>
              <w:t>100mg</w:t>
            </w:r>
          </w:p>
        </w:tc>
        <w:tc>
          <w:tcPr>
            <w:tcW w:w="2161" w:type="dxa"/>
          </w:tcPr>
          <w:p w:rsidR="00D24830" w:rsidRPr="000600ED" w:rsidRDefault="00B421FD"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痛みや炎症の原因となる物質（プロスタグランジン）の生合成の抑制、組織分解酵素活性の抑制などにより、鎮痛、抗炎症、解熱作用を示します。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関節リウマチ、変形性関節症、痛風発作、強直性脊椎炎、腰痛症、肩関節周囲炎、頚肩腕症候群、腱・腱鞘炎、月経困難症、帯状疱疹の消炎・鎮痛・解熱や、外傷・手術後、歯科・口腔外科領域における抜歯・小手術後の消炎・鎮痛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消化性潰瘍、血液の異常、出血傾向、肝障害、腎障害、心機能障害、高血圧症、アスピリンぜん息がある。消化性潰瘍、血液の異常、肝障害、腎障害、アスピリンぜん息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錠（主成分として</w:t>
            </w:r>
            <w:r w:rsidRPr="000600ED">
              <w:rPr>
                <w:rFonts w:asciiTheme="minorEastAsia" w:hAnsiTheme="minorEastAsia"/>
                <w:sz w:val="20"/>
                <w:szCs w:val="20"/>
              </w:rPr>
              <w:t>300</w:t>
            </w:r>
            <w:r w:rsidRPr="000600ED">
              <w:rPr>
                <w:rFonts w:asciiTheme="minorEastAsia" w:hAnsiTheme="minorEastAsia" w:hint="eastAsia"/>
                <w:sz w:val="20"/>
                <w:szCs w:val="20"/>
              </w:rPr>
              <w:t>～</w:t>
            </w:r>
            <w:r w:rsidRPr="000600ED">
              <w:rPr>
                <w:rFonts w:asciiTheme="minorEastAsia" w:hAnsiTheme="minorEastAsia"/>
                <w:sz w:val="20"/>
                <w:szCs w:val="20"/>
              </w:rPr>
              <w:t>600mg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回に分け、なるべく空腹時をさけて服用します。痛風発作には初回</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錠（</w:t>
            </w:r>
            <w:r w:rsidRPr="000600ED">
              <w:rPr>
                <w:rFonts w:asciiTheme="minorEastAsia" w:hAnsiTheme="minorEastAsia"/>
                <w:sz w:val="20"/>
                <w:szCs w:val="20"/>
              </w:rPr>
              <w:t>400</w:t>
            </w:r>
            <w:r w:rsidRPr="000600ED">
              <w:rPr>
                <w:rFonts w:asciiTheme="minorEastAsia" w:hAnsiTheme="minorEastAsia" w:hint="eastAsia"/>
                <w:sz w:val="20"/>
                <w:szCs w:val="20"/>
              </w:rPr>
              <w:t>～</w:t>
            </w:r>
            <w:r w:rsidRPr="000600ED">
              <w:rPr>
                <w:rFonts w:asciiTheme="minorEastAsia" w:hAnsiTheme="minorEastAsia"/>
                <w:sz w:val="20"/>
                <w:szCs w:val="20"/>
              </w:rPr>
              <w:t>600mg</w:t>
            </w:r>
            <w:r w:rsidRPr="000600ED">
              <w:rPr>
                <w:rFonts w:asciiTheme="minorEastAsia" w:hAnsiTheme="minorEastAsia" w:hint="eastAsia"/>
                <w:sz w:val="20"/>
                <w:szCs w:val="20"/>
              </w:rPr>
              <w:t>）を服用します。頓用する場合や外傷・手術後には初回</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300mg</w:t>
            </w:r>
            <w:r w:rsidRPr="000600ED">
              <w:rPr>
                <w:rFonts w:asciiTheme="minorEastAsia" w:hAnsiTheme="minorEastAsia" w:hint="eastAsia"/>
                <w:sz w:val="20"/>
                <w:szCs w:val="20"/>
              </w:rPr>
              <w:t>）を服用します。年齢・症状により適宜増減されます。必ず指示された服用方法に従ってください。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腸障害、腹痛、胃痛、胃部不快感、吐き気、嘔吐、食欲不振、下痢、便秘、口内炎、発疹、かゆみ、眠気、浮腫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・呼吸困難、じんましん、目と口のまわりのはれ</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・発熱、咳、喀痰</w:t>
            </w:r>
            <w:r w:rsidRPr="000600ED">
              <w:rPr>
                <w:rFonts w:asciiTheme="minorEastAsia" w:hAnsiTheme="minorEastAsia"/>
                <w:sz w:val="20"/>
                <w:szCs w:val="20"/>
              </w:rPr>
              <w:t xml:space="preserve"> [PIE</w:t>
            </w:r>
            <w:r w:rsidRPr="000600ED">
              <w:rPr>
                <w:rFonts w:asciiTheme="minorEastAsia" w:hAnsiTheme="minorEastAsia" w:hint="eastAsia"/>
                <w:sz w:val="20"/>
                <w:szCs w:val="20"/>
              </w:rPr>
              <w:t>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・発熱、皮膚の広い範囲が赤くなる、目の充血や唇のただれ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・腹痛、吐血・下血、黒色便</w:t>
            </w:r>
            <w:r w:rsidRPr="000600ED">
              <w:rPr>
                <w:rFonts w:asciiTheme="minorEastAsia" w:hAnsiTheme="minorEastAsia"/>
                <w:sz w:val="20"/>
                <w:szCs w:val="20"/>
              </w:rPr>
              <w:t xml:space="preserve"> [</w:t>
            </w:r>
            <w:r w:rsidRPr="000600ED">
              <w:rPr>
                <w:rFonts w:asciiTheme="minorEastAsia" w:hAnsiTheme="minorEastAsia" w:hint="eastAsia"/>
                <w:sz w:val="20"/>
                <w:szCs w:val="20"/>
              </w:rPr>
              <w:t>胃腸出血、潰瘍</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・貧血症状、のどの痛み、鼻血・歯ぐきの出血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再生不良性貧血、溶血性貧血、無顆粒球症、血小板減少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・薬が残った場合、保管しないで廃棄してください。廃棄については、薬を受けとった薬局や医療機関に相談してください。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FD" w:rsidRDefault="00B421FD" w:rsidP="005676BB">
      <w:r>
        <w:separator/>
      </w:r>
    </w:p>
  </w:endnote>
  <w:endnote w:type="continuationSeparator" w:id="0">
    <w:p w:rsidR="00B421FD" w:rsidRDefault="00B421F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C27F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C27FD">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FD" w:rsidRDefault="00B421FD" w:rsidP="005676BB">
      <w:r>
        <w:separator/>
      </w:r>
    </w:p>
  </w:footnote>
  <w:footnote w:type="continuationSeparator" w:id="0">
    <w:p w:rsidR="00B421FD" w:rsidRDefault="00B421F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421FD"/>
    <w:rsid w:val="00BB5781"/>
    <w:rsid w:val="00BC27FD"/>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4656-FA1E-4C9A-9F16-1BE250C6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2018-09-19T07:24:00Z</dcterms:created>
  <dcterms:modified xsi:type="dcterms:W3CDTF">2018-09-19T07:24:00Z</dcterms:modified>
</cp:coreProperties>
</file>