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チウラジール錠</w:t>
            </w:r>
            <w:r w:rsidRPr="000600ED">
              <w:rPr>
                <w:rFonts w:asciiTheme="majorEastAsia" w:eastAsiaTheme="majorEastAsia" w:hAnsiTheme="majorEastAsia"/>
                <w:b/>
                <w:sz w:val="24"/>
                <w:szCs w:val="24"/>
              </w:rPr>
              <w:t>50mg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プロピルチオウラシル</w:t>
            </w:r>
            <w:r w:rsidRPr="000600ED">
              <w:rPr>
                <w:rFonts w:asciiTheme="minorEastAsia" w:hAnsiTheme="minorEastAsia"/>
                <w:sz w:val="20"/>
                <w:szCs w:val="20"/>
              </w:rPr>
              <w:t>(Propylthiouracil)</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7.2mm</w:t>
            </w:r>
            <w:r w:rsidRPr="000600ED">
              <w:rPr>
                <w:rFonts w:asciiTheme="minorEastAsia" w:hAnsiTheme="minorEastAsia" w:hint="eastAsia"/>
                <w:sz w:val="20"/>
                <w:szCs w:val="20"/>
              </w:rPr>
              <w:t>、厚さ約</w:t>
            </w:r>
            <w:r w:rsidRPr="000600ED">
              <w:rPr>
                <w:rFonts w:asciiTheme="minorEastAsia" w:hAnsiTheme="minorEastAsia"/>
                <w:sz w:val="20"/>
                <w:szCs w:val="20"/>
              </w:rPr>
              <w:t>3.5mm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THIURAGYL50mg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50mg</w:t>
            </w:r>
            <w:r w:rsidR="000600ED" w:rsidRPr="000600ED">
              <w:rPr>
                <w:rFonts w:asciiTheme="minorEastAsia" w:hAnsiTheme="minorEastAsia" w:hint="eastAsia"/>
                <w:sz w:val="20"/>
                <w:szCs w:val="20"/>
              </w:rPr>
              <w:t>、チウラジール</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（裏）チウラジール錠</w:t>
            </w:r>
            <w:r w:rsidRPr="000600ED">
              <w:rPr>
                <w:rFonts w:asciiTheme="minorEastAsia" w:hAnsiTheme="minorEastAsia"/>
                <w:sz w:val="20"/>
                <w:szCs w:val="20"/>
              </w:rPr>
              <w:t>50mg</w:t>
            </w:r>
            <w:r w:rsidRPr="000600ED">
              <w:rPr>
                <w:rFonts w:asciiTheme="minorEastAsia" w:hAnsiTheme="minorEastAsia" w:hint="eastAsia"/>
                <w:sz w:val="20"/>
                <w:szCs w:val="20"/>
              </w:rPr>
              <w:t>、チウラジール</w:t>
            </w:r>
            <w:r w:rsidRPr="000600ED">
              <w:rPr>
                <w:rFonts w:asciiTheme="minorEastAsia" w:hAnsiTheme="minorEastAsia"/>
                <w:sz w:val="20"/>
                <w:szCs w:val="20"/>
              </w:rPr>
              <w:t>50mg</w:t>
            </w:r>
          </w:p>
        </w:tc>
        <w:tc>
          <w:tcPr>
            <w:tcW w:w="2161" w:type="dxa"/>
          </w:tcPr>
          <w:p w:rsidR="00D24830" w:rsidRPr="000600ED" w:rsidRDefault="004953E4"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甲状腺ホルモンの生合成を抑制し、甲状腺機能の亢進を抑えます。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通常、甲状腺機能亢進症の治療に用いられます。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成人</w:t>
            </w:r>
            <w:r w:rsidRPr="000600ED">
              <w:rPr>
                <w:rFonts w:asciiTheme="minorEastAsia" w:hAnsiTheme="minorEastAsia" w:hint="eastAsia"/>
                <w:sz w:val="20"/>
                <w:szCs w:val="20"/>
              </w:rPr>
              <w:t>：通常、成人は初め</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6</w:t>
            </w:r>
            <w:r w:rsidRPr="000600ED">
              <w:rPr>
                <w:rFonts w:asciiTheme="minorEastAsia" w:hAnsiTheme="minorEastAsia" w:hint="eastAsia"/>
                <w:sz w:val="20"/>
                <w:szCs w:val="20"/>
              </w:rPr>
              <w:t>錠（主成分として</w:t>
            </w:r>
            <w:r w:rsidRPr="000600ED">
              <w:rPr>
                <w:rFonts w:asciiTheme="minorEastAsia" w:hAnsiTheme="minorEastAsia"/>
                <w:sz w:val="20"/>
                <w:szCs w:val="20"/>
              </w:rPr>
              <w:t>300mg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回に分けて服用します。重症のときは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8</w:t>
            </w:r>
            <w:r w:rsidRPr="000600ED">
              <w:rPr>
                <w:rFonts w:asciiTheme="minorEastAsia" w:hAnsiTheme="minorEastAsia" w:hint="eastAsia"/>
                <w:sz w:val="20"/>
                <w:szCs w:val="20"/>
              </w:rPr>
              <w:t>～</w:t>
            </w:r>
            <w:r w:rsidRPr="000600ED">
              <w:rPr>
                <w:rFonts w:asciiTheme="minorEastAsia" w:hAnsiTheme="minorEastAsia"/>
                <w:sz w:val="20"/>
                <w:szCs w:val="20"/>
              </w:rPr>
              <w:t>12</w:t>
            </w:r>
            <w:r w:rsidRPr="000600ED">
              <w:rPr>
                <w:rFonts w:asciiTheme="minorEastAsia" w:hAnsiTheme="minorEastAsia" w:hint="eastAsia"/>
                <w:sz w:val="20"/>
                <w:szCs w:val="20"/>
              </w:rPr>
              <w:t>錠（</w:t>
            </w:r>
            <w:r w:rsidRPr="000600ED">
              <w:rPr>
                <w:rFonts w:asciiTheme="minorEastAsia" w:hAnsiTheme="minorEastAsia"/>
                <w:sz w:val="20"/>
                <w:szCs w:val="20"/>
              </w:rPr>
              <w:t>400</w:t>
            </w:r>
            <w:r w:rsidRPr="000600ED">
              <w:rPr>
                <w:rFonts w:asciiTheme="minorEastAsia" w:hAnsiTheme="minorEastAsia" w:hint="eastAsia"/>
                <w:sz w:val="20"/>
                <w:szCs w:val="20"/>
              </w:rPr>
              <w:t>～</w:t>
            </w:r>
            <w:r w:rsidRPr="000600ED">
              <w:rPr>
                <w:rFonts w:asciiTheme="minorEastAsia" w:hAnsiTheme="minorEastAsia"/>
                <w:sz w:val="20"/>
                <w:szCs w:val="20"/>
              </w:rPr>
              <w:t>600mg</w:t>
            </w:r>
            <w:r w:rsidRPr="000600ED">
              <w:rPr>
                <w:rFonts w:asciiTheme="minorEastAsia" w:hAnsiTheme="minorEastAsia" w:hint="eastAsia"/>
                <w:sz w:val="20"/>
                <w:szCs w:val="20"/>
              </w:rPr>
              <w:t>）を服用し、機能亢進症状がほぼ消失したら</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週間ごとに少しずつ減量し、維持量</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50</w:t>
            </w:r>
            <w:r w:rsidRPr="000600ED">
              <w:rPr>
                <w:rFonts w:asciiTheme="minorEastAsia" w:hAnsiTheme="minorEastAsia" w:hint="eastAsia"/>
                <w:sz w:val="20"/>
                <w:szCs w:val="20"/>
              </w:rPr>
              <w:t>～</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回に分けて服用します。</w:t>
            </w:r>
          </w:p>
          <w:p w:rsidR="00000000" w:rsidRDefault="000600ED" w:rsidP="002B76BF">
            <w:pPr>
              <w:ind w:leftChars="200" w:left="420"/>
            </w:pPr>
            <w:r w:rsidRPr="000600ED">
              <w:rPr>
                <w:rFonts w:asciiTheme="minorEastAsia" w:hAnsiTheme="minorEastAsia" w:hint="eastAsia"/>
                <w:sz w:val="20"/>
                <w:szCs w:val="20"/>
                <w:u w:val="single"/>
              </w:rPr>
              <w:t>小児</w:t>
            </w:r>
            <w:r w:rsidRPr="000600ED">
              <w:rPr>
                <w:rFonts w:asciiTheme="minorEastAsia" w:hAnsiTheme="minorEastAsia" w:hint="eastAsia"/>
                <w:sz w:val="20"/>
                <w:szCs w:val="20"/>
              </w:rPr>
              <w:t>：通常、小児は初め</w:t>
            </w:r>
            <w:r w:rsidRPr="000600ED">
              <w:rPr>
                <w:rFonts w:asciiTheme="minorEastAsia" w:hAnsiTheme="minorEastAsia"/>
                <w:sz w:val="20"/>
                <w:szCs w:val="20"/>
              </w:rPr>
              <w:t>5</w:t>
            </w:r>
            <w:r w:rsidRPr="000600ED">
              <w:rPr>
                <w:rFonts w:asciiTheme="minorEastAsia" w:hAnsiTheme="minorEastAsia" w:hint="eastAsia"/>
                <w:sz w:val="20"/>
                <w:szCs w:val="20"/>
              </w:rPr>
              <w:t>歳以上～</w:t>
            </w:r>
            <w:r w:rsidRPr="000600ED">
              <w:rPr>
                <w:rFonts w:asciiTheme="minorEastAsia" w:hAnsiTheme="minorEastAsia"/>
                <w:sz w:val="20"/>
                <w:szCs w:val="20"/>
              </w:rPr>
              <w:t>10</w:t>
            </w:r>
            <w:r w:rsidRPr="000600ED">
              <w:rPr>
                <w:rFonts w:asciiTheme="minorEastAsia" w:hAnsiTheme="minorEastAsia" w:hint="eastAsia"/>
                <w:sz w:val="20"/>
                <w:szCs w:val="20"/>
              </w:rPr>
              <w:t>歳未満では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錠（主成分として</w:t>
            </w:r>
            <w:r w:rsidRPr="000600ED">
              <w:rPr>
                <w:rFonts w:asciiTheme="minorEastAsia" w:hAnsiTheme="minorEastAsia"/>
                <w:sz w:val="20"/>
                <w:szCs w:val="20"/>
              </w:rPr>
              <w:t>100</w:t>
            </w:r>
            <w:r w:rsidRPr="000600ED">
              <w:rPr>
                <w:rFonts w:asciiTheme="minorEastAsia" w:hAnsiTheme="minorEastAsia" w:hint="eastAsia"/>
                <w:sz w:val="20"/>
                <w:szCs w:val="20"/>
              </w:rPr>
              <w:t>～</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10</w:t>
            </w:r>
            <w:r w:rsidRPr="000600ED">
              <w:rPr>
                <w:rFonts w:asciiTheme="minorEastAsia" w:hAnsiTheme="minorEastAsia" w:hint="eastAsia"/>
                <w:sz w:val="20"/>
                <w:szCs w:val="20"/>
              </w:rPr>
              <w:t>歳以上～</w:t>
            </w:r>
            <w:r w:rsidRPr="000600ED">
              <w:rPr>
                <w:rFonts w:asciiTheme="minorEastAsia" w:hAnsiTheme="minorEastAsia"/>
                <w:sz w:val="20"/>
                <w:szCs w:val="20"/>
              </w:rPr>
              <w:t>15</w:t>
            </w:r>
            <w:r w:rsidRPr="000600ED">
              <w:rPr>
                <w:rFonts w:asciiTheme="minorEastAsia" w:hAnsiTheme="minorEastAsia" w:hint="eastAsia"/>
                <w:sz w:val="20"/>
                <w:szCs w:val="20"/>
              </w:rPr>
              <w:t>歳未満では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4</w:t>
            </w:r>
            <w:r w:rsidRPr="000600ED">
              <w:rPr>
                <w:rFonts w:asciiTheme="minorEastAsia" w:hAnsiTheme="minorEastAsia" w:hint="eastAsia"/>
                <w:sz w:val="20"/>
                <w:szCs w:val="20"/>
              </w:rPr>
              <w:t>～</w:t>
            </w:r>
            <w:r w:rsidRPr="000600ED">
              <w:rPr>
                <w:rFonts w:asciiTheme="minorEastAsia" w:hAnsiTheme="minorEastAsia"/>
                <w:sz w:val="20"/>
                <w:szCs w:val="20"/>
              </w:rPr>
              <w:t>6</w:t>
            </w:r>
            <w:r w:rsidRPr="000600ED">
              <w:rPr>
                <w:rFonts w:asciiTheme="minorEastAsia" w:hAnsiTheme="minorEastAsia" w:hint="eastAsia"/>
                <w:sz w:val="20"/>
                <w:szCs w:val="20"/>
              </w:rPr>
              <w:t>錠（</w:t>
            </w:r>
            <w:r w:rsidRPr="000600ED">
              <w:rPr>
                <w:rFonts w:asciiTheme="minorEastAsia" w:hAnsiTheme="minorEastAsia"/>
                <w:sz w:val="20"/>
                <w:szCs w:val="20"/>
              </w:rPr>
              <w:t>200</w:t>
            </w:r>
            <w:r w:rsidRPr="000600ED">
              <w:rPr>
                <w:rFonts w:asciiTheme="minorEastAsia" w:hAnsiTheme="minorEastAsia" w:hint="eastAsia"/>
                <w:sz w:val="20"/>
                <w:szCs w:val="20"/>
              </w:rPr>
              <w:t>～</w:t>
            </w:r>
            <w:r w:rsidRPr="000600ED">
              <w:rPr>
                <w:rFonts w:asciiTheme="minorEastAsia" w:hAnsiTheme="minorEastAsia"/>
                <w:sz w:val="20"/>
                <w:szCs w:val="20"/>
              </w:rPr>
              <w:t>300mg</w:t>
            </w:r>
            <w:r w:rsidRPr="000600ED">
              <w:rPr>
                <w:rFonts w:asciiTheme="minorEastAsia" w:hAnsiTheme="minorEastAsia" w:hint="eastAsia"/>
                <w:sz w:val="20"/>
                <w:szCs w:val="20"/>
              </w:rPr>
              <w:t>）を</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回に分けて服用し、機能亢進症状がほぼ消失したら</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週間ごとに少しずつ減量し、維持量</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50</w:t>
            </w:r>
            <w:r w:rsidRPr="000600ED">
              <w:rPr>
                <w:rFonts w:asciiTheme="minorEastAsia" w:hAnsiTheme="minorEastAsia" w:hint="eastAsia"/>
                <w:sz w:val="20"/>
                <w:szCs w:val="20"/>
              </w:rPr>
              <w:t>～</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回に分けて服用します。</w:t>
            </w:r>
          </w:p>
          <w:p w:rsidR="00000000" w:rsidRDefault="000600ED" w:rsidP="002B76BF">
            <w:pPr>
              <w:ind w:leftChars="200" w:left="420"/>
            </w:pPr>
            <w:r w:rsidRPr="000600ED">
              <w:rPr>
                <w:rFonts w:asciiTheme="minorEastAsia" w:hAnsiTheme="minorEastAsia" w:hint="eastAsia"/>
                <w:sz w:val="20"/>
                <w:szCs w:val="20"/>
                <w:u w:val="single"/>
              </w:rPr>
              <w:t>妊婦</w:t>
            </w:r>
            <w:r w:rsidRPr="000600ED">
              <w:rPr>
                <w:rFonts w:asciiTheme="minorEastAsia" w:hAnsiTheme="minorEastAsia" w:hint="eastAsia"/>
                <w:sz w:val="20"/>
                <w:szCs w:val="20"/>
              </w:rPr>
              <w:t>：通常、妊婦は初め</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6</w:t>
            </w:r>
            <w:r w:rsidRPr="000600ED">
              <w:rPr>
                <w:rFonts w:asciiTheme="minorEastAsia" w:hAnsiTheme="minorEastAsia" w:hint="eastAsia"/>
                <w:sz w:val="20"/>
                <w:szCs w:val="20"/>
              </w:rPr>
              <w:t>錠（主成分として</w:t>
            </w:r>
            <w:r w:rsidRPr="000600ED">
              <w:rPr>
                <w:rFonts w:asciiTheme="minorEastAsia" w:hAnsiTheme="minorEastAsia"/>
                <w:sz w:val="20"/>
                <w:szCs w:val="20"/>
              </w:rPr>
              <w:t>150</w:t>
            </w:r>
            <w:r w:rsidRPr="000600ED">
              <w:rPr>
                <w:rFonts w:asciiTheme="minorEastAsia" w:hAnsiTheme="minorEastAsia" w:hint="eastAsia"/>
                <w:sz w:val="20"/>
                <w:szCs w:val="20"/>
              </w:rPr>
              <w:t>～</w:t>
            </w:r>
            <w:r w:rsidRPr="000600ED">
              <w:rPr>
                <w:rFonts w:asciiTheme="minorEastAsia" w:hAnsiTheme="minorEastAsia"/>
                <w:sz w:val="20"/>
                <w:szCs w:val="20"/>
              </w:rPr>
              <w:t>300mg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回に分けて服用し、機能亢進症状がほぼ消失したら</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週間ごとに少しずつ減量し、維持量</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50</w:t>
            </w:r>
            <w:r w:rsidRPr="000600ED">
              <w:rPr>
                <w:rFonts w:asciiTheme="minorEastAsia" w:hAnsiTheme="minorEastAsia" w:hint="eastAsia"/>
                <w:sz w:val="20"/>
                <w:szCs w:val="20"/>
              </w:rPr>
              <w:t>～</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回に分けて服用します。正常妊娠時の甲状腺機能検査値を低下しないように、</w:t>
            </w:r>
            <w:r w:rsidRPr="000600ED">
              <w:rPr>
                <w:rFonts w:asciiTheme="minorEastAsia" w:hAnsiTheme="minorEastAsia"/>
                <w:sz w:val="20"/>
                <w:szCs w:val="20"/>
              </w:rPr>
              <w:t>2</w:t>
            </w:r>
            <w:r w:rsidRPr="000600ED">
              <w:rPr>
                <w:rFonts w:asciiTheme="minorEastAsia" w:hAnsiTheme="minorEastAsia" w:hint="eastAsia"/>
                <w:sz w:val="20"/>
                <w:szCs w:val="20"/>
              </w:rPr>
              <w:t>週間ごとに検査が行われ、必要最低限量が決められます。</w:t>
            </w:r>
          </w:p>
          <w:p w:rsidR="00000000" w:rsidRDefault="000600ED" w:rsidP="002B76BF">
            <w:pPr>
              <w:ind w:leftChars="200" w:left="420"/>
            </w:pPr>
            <w:r w:rsidRPr="000600ED">
              <w:rPr>
                <w:rFonts w:asciiTheme="minorEastAsia" w:hAnsiTheme="minorEastAsia" w:hint="eastAsia"/>
                <w:sz w:val="20"/>
                <w:szCs w:val="20"/>
              </w:rPr>
              <w:t>いずれも、年齢・症状により適宜増減されます。必ず指示された服用方法に従ってください。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副作用として、発疹、じん麻疹、発熱などが報告されています。このような症状に気づいたら、担当の医師または薬剤師に相談してください。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・発熱、のどの痛み、全身けん怠感</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・鼻血、歯ぐきの出血、手足のあざ</w:t>
            </w:r>
            <w:r w:rsidRPr="000600ED">
              <w:rPr>
                <w:rFonts w:asciiTheme="minorEastAsia" w:hAnsiTheme="minorEastAsia"/>
                <w:sz w:val="20"/>
                <w:szCs w:val="20"/>
              </w:rPr>
              <w:t xml:space="preserve"> [</w:t>
            </w:r>
            <w:r w:rsidRPr="000600ED">
              <w:rPr>
                <w:rFonts w:asciiTheme="minorEastAsia" w:hAnsiTheme="minorEastAsia" w:hint="eastAsia"/>
                <w:sz w:val="20"/>
                <w:szCs w:val="20"/>
              </w:rPr>
              <w:t>再生不良性貧血、低プロトロンビン血症、第</w:t>
            </w:r>
            <w:r w:rsidRPr="000600ED">
              <w:rPr>
                <w:rFonts w:asciiTheme="minorEastAsia" w:hAnsiTheme="minorEastAsia"/>
                <w:sz w:val="20"/>
                <w:szCs w:val="20"/>
              </w:rPr>
              <w:t>VII</w:t>
            </w:r>
            <w:r w:rsidRPr="000600ED">
              <w:rPr>
                <w:rFonts w:asciiTheme="minorEastAsia" w:hAnsiTheme="minorEastAsia" w:hint="eastAsia"/>
                <w:sz w:val="20"/>
                <w:szCs w:val="20"/>
              </w:rPr>
              <w:t>因子欠乏症、血小板減少、血小板減少性紫斑病</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劇症肝炎、黄疸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・発熱、紅斑、筋肉痛・関節痛</w:t>
            </w:r>
            <w:r w:rsidRPr="000600ED">
              <w:rPr>
                <w:rFonts w:asciiTheme="minorEastAsia" w:hAnsiTheme="minorEastAsia"/>
                <w:sz w:val="20"/>
                <w:szCs w:val="20"/>
              </w:rPr>
              <w:t xml:space="preserve"> [SLE</w:t>
            </w:r>
            <w:r w:rsidRPr="000600ED">
              <w:rPr>
                <w:rFonts w:asciiTheme="minorEastAsia" w:hAnsiTheme="minorEastAsia" w:hint="eastAsia"/>
                <w:sz w:val="20"/>
                <w:szCs w:val="20"/>
              </w:rPr>
              <w:t>様症状</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間質性肺炎</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3E4" w:rsidRDefault="004953E4" w:rsidP="005676BB">
      <w:r>
        <w:separator/>
      </w:r>
    </w:p>
  </w:endnote>
  <w:endnote w:type="continuationSeparator" w:id="0">
    <w:p w:rsidR="004953E4" w:rsidRDefault="004953E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7C2D7B">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7C2D7B">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3E4" w:rsidRDefault="004953E4" w:rsidP="005676BB">
      <w:r>
        <w:separator/>
      </w:r>
    </w:p>
  </w:footnote>
  <w:footnote w:type="continuationSeparator" w:id="0">
    <w:p w:rsidR="004953E4" w:rsidRDefault="004953E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4953E4"/>
    <w:rsid w:val="00547602"/>
    <w:rsid w:val="005676BB"/>
    <w:rsid w:val="006A40B0"/>
    <w:rsid w:val="00764B98"/>
    <w:rsid w:val="007B113F"/>
    <w:rsid w:val="007C2D7B"/>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1C9D0-87DA-4258-8B15-9FF29F93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2018-06-13T03:03:00Z</dcterms:created>
  <dcterms:modified xsi:type="dcterms:W3CDTF">2018-06-13T03:03:00Z</dcterms:modified>
</cp:coreProperties>
</file>